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91" w:rsidRPr="00F4427B" w:rsidRDefault="00DC2FD7" w:rsidP="00284591">
      <w:pPr>
        <w:jc w:val="center"/>
        <w:rPr>
          <w:b/>
          <w:sz w:val="32"/>
          <w:szCs w:val="32"/>
          <w:u w:val="single"/>
          <w:lang w:val="sk-SK"/>
        </w:rPr>
      </w:pPr>
      <w:r w:rsidRPr="00F4427B">
        <w:rPr>
          <w:b/>
          <w:sz w:val="32"/>
          <w:szCs w:val="32"/>
          <w:u w:val="single"/>
          <w:lang w:val="sk-SK"/>
        </w:rPr>
        <w:t>Rokovanie zostavovateľov PS a hodnotiteľov ex-ante</w:t>
      </w:r>
    </w:p>
    <w:p w:rsidR="00284591" w:rsidRPr="00F4427B" w:rsidRDefault="00284591" w:rsidP="00284591">
      <w:pPr>
        <w:jc w:val="center"/>
        <w:rPr>
          <w:lang w:val="sk-SK"/>
        </w:rPr>
      </w:pPr>
      <w:r w:rsidRPr="00F4427B">
        <w:rPr>
          <w:lang w:val="sk-SK"/>
        </w:rPr>
        <w:t>30</w:t>
      </w:r>
      <w:r w:rsidR="00DC2FD7" w:rsidRPr="00F4427B">
        <w:rPr>
          <w:lang w:val="sk-SK"/>
        </w:rPr>
        <w:t>.</w:t>
      </w:r>
      <w:r w:rsidRPr="00F4427B">
        <w:rPr>
          <w:lang w:val="sk-SK"/>
        </w:rPr>
        <w:t xml:space="preserve"> </w:t>
      </w:r>
      <w:r w:rsidR="00DC2FD7" w:rsidRPr="00F4427B">
        <w:rPr>
          <w:lang w:val="sk-SK"/>
        </w:rPr>
        <w:t>s</w:t>
      </w:r>
      <w:r w:rsidRPr="00F4427B">
        <w:rPr>
          <w:lang w:val="sk-SK"/>
        </w:rPr>
        <w:t>eptembr</w:t>
      </w:r>
      <w:r w:rsidR="00DC2FD7" w:rsidRPr="00F4427B">
        <w:rPr>
          <w:lang w:val="sk-SK"/>
        </w:rPr>
        <w:t>a</w:t>
      </w:r>
      <w:r w:rsidRPr="00F4427B">
        <w:rPr>
          <w:lang w:val="sk-SK"/>
        </w:rPr>
        <w:t xml:space="preserve"> 2014</w:t>
      </w:r>
      <w:r w:rsidR="00DC2FD7" w:rsidRPr="00F4427B">
        <w:rPr>
          <w:lang w:val="sk-SK"/>
        </w:rPr>
        <w:t xml:space="preserve"> v Budapešti</w:t>
      </w:r>
    </w:p>
    <w:tbl>
      <w:tblPr>
        <w:tblStyle w:val="Mkatabulky"/>
        <w:tblW w:w="0" w:type="auto"/>
        <w:tblLook w:val="04A0"/>
      </w:tblPr>
      <w:tblGrid>
        <w:gridCol w:w="1526"/>
        <w:gridCol w:w="4678"/>
        <w:gridCol w:w="2976"/>
      </w:tblGrid>
      <w:tr w:rsidR="00FD1834" w:rsidRPr="00F4427B" w:rsidTr="000F38B6">
        <w:tc>
          <w:tcPr>
            <w:tcW w:w="1526" w:type="dxa"/>
          </w:tcPr>
          <w:p w:rsidR="00BC5176" w:rsidRPr="00F4427B" w:rsidRDefault="00BC5176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BC5176" w:rsidRPr="00F4427B" w:rsidRDefault="00DC2FD7" w:rsidP="00DC2FD7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Komentáre e</w:t>
            </w:r>
            <w:r w:rsidR="002969D1" w:rsidRPr="00F4427B">
              <w:rPr>
                <w:b/>
                <w:sz w:val="20"/>
                <w:szCs w:val="20"/>
                <w:lang w:val="sk-SK"/>
              </w:rPr>
              <w:t>x-ante</w:t>
            </w:r>
          </w:p>
        </w:tc>
        <w:tc>
          <w:tcPr>
            <w:tcW w:w="2976" w:type="dxa"/>
          </w:tcPr>
          <w:p w:rsidR="00BC5176" w:rsidRPr="00F4427B" w:rsidRDefault="00DC2FD7" w:rsidP="00DC2FD7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Komentáre zostavovateľov P</w:t>
            </w:r>
            <w:r w:rsidRPr="00F4427B">
              <w:rPr>
                <w:b/>
                <w:color w:val="FF0000"/>
                <w:sz w:val="20"/>
                <w:szCs w:val="20"/>
                <w:u w:val="single"/>
                <w:lang w:val="sk-SK"/>
              </w:rPr>
              <w:t>S</w:t>
            </w:r>
          </w:p>
        </w:tc>
      </w:tr>
      <w:tr w:rsidR="00F30121" w:rsidRPr="00F4427B" w:rsidTr="000F38B6">
        <w:tc>
          <w:tcPr>
            <w:tcW w:w="9180" w:type="dxa"/>
            <w:gridSpan w:val="3"/>
          </w:tcPr>
          <w:p w:rsidR="00F30121" w:rsidRPr="00F4427B" w:rsidRDefault="00F30121" w:rsidP="00DC2F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lang w:val="sk-SK"/>
              </w:rPr>
              <w:t>Priorit</w:t>
            </w:r>
            <w:r w:rsidR="00DC2FD7" w:rsidRPr="00F4427B">
              <w:rPr>
                <w:lang w:val="sk-SK"/>
              </w:rPr>
              <w:t>ná os</w:t>
            </w:r>
            <w:r w:rsidRPr="00F4427B">
              <w:rPr>
                <w:lang w:val="sk-SK"/>
              </w:rPr>
              <w:t xml:space="preserve"> 1</w:t>
            </w:r>
          </w:p>
        </w:tc>
      </w:tr>
      <w:tr w:rsidR="00FD1834" w:rsidRPr="00F4427B" w:rsidTr="000F38B6">
        <w:tc>
          <w:tcPr>
            <w:tcW w:w="1526" w:type="dxa"/>
          </w:tcPr>
          <w:p w:rsidR="00BC5176" w:rsidRPr="00F4427B" w:rsidRDefault="00BC5176" w:rsidP="00DC2FD7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1.1.5</w:t>
            </w:r>
            <w:r w:rsidR="00C24C2F" w:rsidRPr="00F4427B">
              <w:rPr>
                <w:b/>
                <w:sz w:val="20"/>
                <w:szCs w:val="20"/>
                <w:lang w:val="sk-SK"/>
              </w:rPr>
              <w:t xml:space="preserve"> </w:t>
            </w:r>
            <w:r w:rsidR="00DC2FD7" w:rsidRPr="00F4427B">
              <w:rPr>
                <w:b/>
                <w:sz w:val="20"/>
                <w:szCs w:val="20"/>
                <w:lang w:val="sk-SK"/>
              </w:rPr>
              <w:t>Výzvy a potreby</w:t>
            </w:r>
          </w:p>
        </w:tc>
        <w:tc>
          <w:tcPr>
            <w:tcW w:w="4678" w:type="dxa"/>
          </w:tcPr>
          <w:p w:rsidR="00BC5176" w:rsidRPr="00F4427B" w:rsidRDefault="00DC2FD7" w:rsidP="00DC2F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Priestorové disparity, spoločenské výzvy a ekologické inovácie by mali byť spomenuté medzi kľúčovými výzvami a potrebami, aby sa zabezpečila interná konzistentnosť</w:t>
            </w:r>
          </w:p>
        </w:tc>
        <w:tc>
          <w:tcPr>
            <w:tcW w:w="2976" w:type="dxa"/>
          </w:tcPr>
          <w:p w:rsidR="00E02E18" w:rsidRPr="00F4427B" w:rsidRDefault="00DC2FD7">
            <w:pPr>
              <w:rPr>
                <w:ins w:id="0" w:author="resch" w:date="2014-10-03T12:01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BC5176" w:rsidRPr="00F4427B" w:rsidRDefault="00F5266D" w:rsidP="00F5266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súhlasili, že doplnia zmienky v kľúčových výzvach a potrebách</w:t>
            </w:r>
            <w:r w:rsidR="00C403D1" w:rsidRPr="00F4427B">
              <w:rPr>
                <w:sz w:val="20"/>
                <w:szCs w:val="20"/>
                <w:lang w:val="sk-SK"/>
              </w:rPr>
              <w:t>.</w:t>
            </w:r>
          </w:p>
        </w:tc>
      </w:tr>
      <w:tr w:rsidR="00FD1834" w:rsidRPr="00F4427B" w:rsidTr="000F38B6">
        <w:tc>
          <w:tcPr>
            <w:tcW w:w="1526" w:type="dxa"/>
          </w:tcPr>
          <w:p w:rsidR="00BC5176" w:rsidRPr="00F4427B" w:rsidRDefault="00DC2FD7" w:rsidP="00775CDF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TC</w:t>
            </w:r>
            <w:r w:rsidR="00A11F39" w:rsidRPr="00F4427B">
              <w:rPr>
                <w:b/>
                <w:sz w:val="20"/>
                <w:szCs w:val="20"/>
                <w:lang w:val="sk-SK"/>
              </w:rPr>
              <w:t xml:space="preserve">1 – </w:t>
            </w:r>
            <w:r w:rsidRPr="00F4427B">
              <w:rPr>
                <w:b/>
                <w:sz w:val="20"/>
                <w:szCs w:val="20"/>
                <w:lang w:val="sk-SK"/>
              </w:rPr>
              <w:t>KC</w:t>
            </w:r>
            <w:r w:rsidR="00A11F39" w:rsidRPr="00F4427B">
              <w:rPr>
                <w:b/>
                <w:sz w:val="20"/>
                <w:szCs w:val="20"/>
                <w:lang w:val="sk-SK"/>
              </w:rPr>
              <w:t>1.1</w:t>
            </w:r>
          </w:p>
        </w:tc>
        <w:tc>
          <w:tcPr>
            <w:tcW w:w="4678" w:type="dxa"/>
          </w:tcPr>
          <w:p w:rsidR="002969D1" w:rsidRPr="00F4427B" w:rsidRDefault="002969D1" w:rsidP="00DC2F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Defin</w:t>
            </w:r>
            <w:r w:rsidR="00DC2FD7" w:rsidRPr="00F4427B">
              <w:rPr>
                <w:sz w:val="20"/>
                <w:szCs w:val="20"/>
                <w:lang w:val="sk-SK"/>
              </w:rPr>
              <w:t>ícia KC</w:t>
            </w:r>
            <w:r w:rsidRPr="00F4427B">
              <w:rPr>
                <w:sz w:val="20"/>
                <w:szCs w:val="20"/>
                <w:lang w:val="sk-SK"/>
              </w:rPr>
              <w:t>1.</w:t>
            </w:r>
            <w:r w:rsidR="0070278E" w:rsidRPr="00F4427B">
              <w:rPr>
                <w:sz w:val="20"/>
                <w:szCs w:val="20"/>
                <w:lang w:val="sk-SK"/>
              </w:rPr>
              <w:t>1</w:t>
            </w:r>
            <w:r w:rsidRPr="00F4427B">
              <w:rPr>
                <w:sz w:val="20"/>
                <w:szCs w:val="20"/>
                <w:lang w:val="sk-SK"/>
              </w:rPr>
              <w:t xml:space="preserve"> – </w:t>
            </w:r>
            <w:r w:rsidR="00DC2FD7" w:rsidRPr="00F4427B">
              <w:rPr>
                <w:sz w:val="20"/>
                <w:szCs w:val="20"/>
                <w:lang w:val="sk-SK"/>
              </w:rPr>
              <w:t>odporúčajú sa niektoré zmeny, aby definícia bola konkrétnejšia</w:t>
            </w:r>
          </w:p>
        </w:tc>
        <w:tc>
          <w:tcPr>
            <w:tcW w:w="2976" w:type="dxa"/>
          </w:tcPr>
          <w:p w:rsidR="00E02E18" w:rsidRPr="00F4427B" w:rsidRDefault="00DC2FD7">
            <w:pPr>
              <w:rPr>
                <w:ins w:id="1" w:author="resch" w:date="2014-10-03T12:02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BC5176" w:rsidRPr="00F4427B" w:rsidRDefault="00F5266D" w:rsidP="00F5266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súhlasili, že to zmenia</w:t>
            </w:r>
            <w:r w:rsidR="00C403D1" w:rsidRPr="00F4427B">
              <w:rPr>
                <w:sz w:val="20"/>
                <w:szCs w:val="20"/>
                <w:lang w:val="sk-SK"/>
              </w:rPr>
              <w:t xml:space="preserve">: </w:t>
            </w:r>
            <w:r w:rsidRPr="00F4427B">
              <w:rPr>
                <w:sz w:val="20"/>
                <w:szCs w:val="20"/>
                <w:lang w:val="sk-SK"/>
              </w:rPr>
              <w:t xml:space="preserve">pridá sa </w:t>
            </w:r>
            <w:r w:rsidR="00C403D1" w:rsidRPr="00F4427B">
              <w:rPr>
                <w:sz w:val="20"/>
                <w:szCs w:val="20"/>
                <w:lang w:val="sk-SK"/>
              </w:rPr>
              <w:t>“</w:t>
            </w:r>
            <w:r w:rsidRPr="00F4427B">
              <w:rPr>
                <w:sz w:val="20"/>
                <w:szCs w:val="20"/>
                <w:lang w:val="sk-SK"/>
              </w:rPr>
              <w:t>zabezpečiť”</w:t>
            </w:r>
          </w:p>
        </w:tc>
      </w:tr>
      <w:tr w:rsidR="00FD1834" w:rsidRPr="00F4427B" w:rsidTr="000F38B6">
        <w:tc>
          <w:tcPr>
            <w:tcW w:w="1526" w:type="dxa"/>
          </w:tcPr>
          <w:p w:rsidR="00BC5176" w:rsidRPr="00F4427B" w:rsidRDefault="00BC5176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2969D1" w:rsidRPr="00F4427B" w:rsidRDefault="00DC2FD7" w:rsidP="002969D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Výsledky</w:t>
            </w:r>
            <w:r w:rsidR="002969D1" w:rsidRPr="00F4427B">
              <w:rPr>
                <w:sz w:val="20"/>
                <w:szCs w:val="20"/>
                <w:lang w:val="sk-SK"/>
              </w:rPr>
              <w:t>:</w:t>
            </w:r>
          </w:p>
          <w:p w:rsidR="00BC5176" w:rsidRPr="00F4427B" w:rsidRDefault="00F5266D" w:rsidP="00F5266D">
            <w:pPr>
              <w:pStyle w:val="Odstavecseseznamem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Rozvoj schopností MSP by mal byť nasmerovaný do </w:t>
            </w:r>
            <w:r w:rsidR="00DC2FD7" w:rsidRPr="00F4427B">
              <w:rPr>
                <w:sz w:val="20"/>
                <w:szCs w:val="20"/>
                <w:lang w:val="sk-SK"/>
              </w:rPr>
              <w:t>KC</w:t>
            </w:r>
            <w:r w:rsidR="002969D1" w:rsidRPr="00F4427B">
              <w:rPr>
                <w:sz w:val="20"/>
                <w:szCs w:val="20"/>
                <w:lang w:val="sk-SK"/>
              </w:rPr>
              <w:t>1.2</w:t>
            </w:r>
          </w:p>
        </w:tc>
        <w:tc>
          <w:tcPr>
            <w:tcW w:w="2976" w:type="dxa"/>
          </w:tcPr>
          <w:p w:rsidR="00081385" w:rsidRPr="00F4427B" w:rsidRDefault="00DC2FD7" w:rsidP="00081385">
            <w:pPr>
              <w:pStyle w:val="Odstavecseseznamem"/>
              <w:ind w:left="33"/>
              <w:rPr>
                <w:ins w:id="2" w:author="resch" w:date="2014-10-03T12:02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081385" w:rsidRPr="00F4427B" w:rsidRDefault="00F5266D" w:rsidP="00F5266D">
            <w:pPr>
              <w:pStyle w:val="Odstavecseseznamem"/>
              <w:ind w:left="3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súhlasili, že premiestnia rozvoj schopností MSP</w:t>
            </w:r>
          </w:p>
        </w:tc>
      </w:tr>
      <w:tr w:rsidR="00FD1834" w:rsidRPr="00F4427B" w:rsidTr="000F38B6">
        <w:tc>
          <w:tcPr>
            <w:tcW w:w="1526" w:type="dxa"/>
          </w:tcPr>
          <w:p w:rsidR="00BC5176" w:rsidRPr="00F4427B" w:rsidRDefault="00BC5176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70278E" w:rsidRPr="00F4427B" w:rsidRDefault="002969D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Typ </w:t>
            </w:r>
            <w:r w:rsidR="00F5266D" w:rsidRPr="00F4427B">
              <w:rPr>
                <w:sz w:val="20"/>
                <w:szCs w:val="20"/>
                <w:lang w:val="sk-SK"/>
              </w:rPr>
              <w:t>opatrení</w:t>
            </w:r>
            <w:r w:rsidRPr="00F4427B">
              <w:rPr>
                <w:sz w:val="20"/>
                <w:szCs w:val="20"/>
                <w:lang w:val="sk-SK"/>
              </w:rPr>
              <w:t xml:space="preserve">: </w:t>
            </w:r>
          </w:p>
          <w:p w:rsidR="00BC5176" w:rsidRPr="00F4427B" w:rsidRDefault="00F5266D" w:rsidP="00F5266D">
            <w:pPr>
              <w:pStyle w:val="Odstavecseseznamem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 niektorých prípadoch by sa väčší dôraz mal klásť na definíciu typov opatrení, ktoré sa majú podporovať namiesto zámerov, ktoré sa majú dosiahnuť</w:t>
            </w:r>
          </w:p>
        </w:tc>
        <w:tc>
          <w:tcPr>
            <w:tcW w:w="2976" w:type="dxa"/>
          </w:tcPr>
          <w:p w:rsidR="00E02E18" w:rsidRPr="00F4427B" w:rsidRDefault="00DC2FD7" w:rsidP="009D6F87">
            <w:pPr>
              <w:rPr>
                <w:ins w:id="3" w:author="resch" w:date="2014-10-03T12:02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BC5176" w:rsidRPr="00F4427B" w:rsidRDefault="00F5266D" w:rsidP="00F5266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súhlasili, že to zmenia</w:t>
            </w:r>
            <w:r w:rsidR="00C403D1" w:rsidRPr="00F4427B">
              <w:rPr>
                <w:sz w:val="20"/>
                <w:szCs w:val="20"/>
                <w:lang w:val="sk-SK"/>
              </w:rPr>
              <w:t xml:space="preserve">: </w:t>
            </w:r>
            <w:r w:rsidRPr="00F4427B">
              <w:rPr>
                <w:sz w:val="20"/>
                <w:szCs w:val="20"/>
                <w:lang w:val="sk-SK"/>
              </w:rPr>
              <w:t xml:space="preserve">preformulujú to, aby to bolo </w:t>
            </w:r>
            <w:r w:rsidR="009D6F87" w:rsidRPr="00F4427B">
              <w:rPr>
                <w:sz w:val="20"/>
                <w:szCs w:val="20"/>
                <w:lang w:val="sk-SK"/>
              </w:rPr>
              <w:t>“</w:t>
            </w:r>
            <w:r w:rsidRPr="00F4427B">
              <w:rPr>
                <w:sz w:val="20"/>
                <w:szCs w:val="20"/>
                <w:lang w:val="sk-SK"/>
              </w:rPr>
              <w:t>viac zamerané na opatrenia”</w:t>
            </w:r>
          </w:p>
        </w:tc>
      </w:tr>
      <w:tr w:rsidR="00FD1834" w:rsidRPr="00F4427B" w:rsidTr="000F38B6">
        <w:tc>
          <w:tcPr>
            <w:tcW w:w="1526" w:type="dxa"/>
          </w:tcPr>
          <w:p w:rsidR="0070278E" w:rsidRPr="00F4427B" w:rsidRDefault="00DC2FD7" w:rsidP="0070278E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TC</w:t>
            </w:r>
            <w:r w:rsidR="0070278E" w:rsidRPr="00F4427B">
              <w:rPr>
                <w:b/>
                <w:sz w:val="20"/>
                <w:szCs w:val="20"/>
                <w:lang w:val="sk-SK"/>
              </w:rPr>
              <w:t xml:space="preserve">1 – </w:t>
            </w:r>
            <w:r w:rsidRPr="00F4427B">
              <w:rPr>
                <w:b/>
                <w:sz w:val="20"/>
                <w:szCs w:val="20"/>
                <w:lang w:val="sk-SK"/>
              </w:rPr>
              <w:t>KC</w:t>
            </w:r>
            <w:r w:rsidR="0070278E" w:rsidRPr="00F4427B">
              <w:rPr>
                <w:b/>
                <w:sz w:val="20"/>
                <w:szCs w:val="20"/>
                <w:lang w:val="sk-SK"/>
              </w:rPr>
              <w:t>1.2</w:t>
            </w:r>
          </w:p>
        </w:tc>
        <w:tc>
          <w:tcPr>
            <w:tcW w:w="4678" w:type="dxa"/>
          </w:tcPr>
          <w:p w:rsidR="0070278E" w:rsidRPr="00F4427B" w:rsidRDefault="0070278E" w:rsidP="00F5266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Defin</w:t>
            </w:r>
            <w:r w:rsidR="00F5266D" w:rsidRPr="00F4427B">
              <w:rPr>
                <w:sz w:val="20"/>
                <w:szCs w:val="20"/>
                <w:lang w:val="sk-SK"/>
              </w:rPr>
              <w:t xml:space="preserve">ícia </w:t>
            </w:r>
            <w:r w:rsidR="00DC2FD7" w:rsidRPr="00F4427B">
              <w:rPr>
                <w:sz w:val="20"/>
                <w:szCs w:val="20"/>
                <w:lang w:val="sk-SK"/>
              </w:rPr>
              <w:t>KC</w:t>
            </w:r>
            <w:r w:rsidRPr="00F4427B">
              <w:rPr>
                <w:sz w:val="20"/>
                <w:szCs w:val="20"/>
                <w:lang w:val="sk-SK"/>
              </w:rPr>
              <w:t xml:space="preserve">1.1 – </w:t>
            </w:r>
            <w:r w:rsidR="00F5266D" w:rsidRPr="00F4427B">
              <w:rPr>
                <w:sz w:val="20"/>
                <w:szCs w:val="20"/>
                <w:lang w:val="sk-SK"/>
              </w:rPr>
              <w:t>odporúčajú sa niektoré zmeny, aby definícia bola konkrétnejšia a viac zmeraná na cieľ</w:t>
            </w:r>
          </w:p>
        </w:tc>
        <w:tc>
          <w:tcPr>
            <w:tcW w:w="2976" w:type="dxa"/>
          </w:tcPr>
          <w:p w:rsidR="00E02E18" w:rsidRPr="00F4427B" w:rsidRDefault="00DC2FD7" w:rsidP="00E02E18">
            <w:pPr>
              <w:rPr>
                <w:ins w:id="4" w:author="resch" w:date="2014-10-03T12:03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70278E" w:rsidRPr="00F4427B" w:rsidRDefault="00F5266D" w:rsidP="00F5266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súhlasili, že to zmenia</w:t>
            </w:r>
          </w:p>
        </w:tc>
      </w:tr>
      <w:tr w:rsidR="00FD1834" w:rsidRPr="00F4427B" w:rsidTr="000F38B6">
        <w:tc>
          <w:tcPr>
            <w:tcW w:w="1526" w:type="dxa"/>
          </w:tcPr>
          <w:p w:rsidR="0070278E" w:rsidRPr="00F4427B" w:rsidRDefault="0070278E" w:rsidP="0070278E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134A25" w:rsidRPr="00F4427B" w:rsidRDefault="00134A25" w:rsidP="0070278E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Výzva v súvislosti s odlivom mozgov mladých a dobre vzdelaných ľudí nie je uvedená medzi kľúčovými výzvami a potrebami v kapitole Stratégia, tento malý nedostatok v intervenčnej logike by mal byť preklenutý (ale aké je riešenie tejto výzvy?)</w:t>
            </w:r>
          </w:p>
          <w:p w:rsidR="0070278E" w:rsidRPr="00F4427B" w:rsidRDefault="0070278E" w:rsidP="0070278E">
            <w:pPr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</w:tcPr>
          <w:p w:rsidR="00E02E18" w:rsidRPr="00F4427B" w:rsidRDefault="00DC2FD7" w:rsidP="007A4778">
            <w:pPr>
              <w:rPr>
                <w:ins w:id="5" w:author="resch" w:date="2014-10-03T12:03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70278E" w:rsidRPr="00F4427B" w:rsidRDefault="00B46019" w:rsidP="009C7035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</w:t>
            </w:r>
            <w:r w:rsidR="00134A25" w:rsidRPr="00F4427B">
              <w:rPr>
                <w:sz w:val="20"/>
                <w:szCs w:val="20"/>
                <w:lang w:val="sk-SK"/>
              </w:rPr>
              <w:t xml:space="preserve"> sa rozhodli, že </w:t>
            </w:r>
            <w:r w:rsidR="00134A25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zrevidujú odsek (…nedostatok atraktívnych pracovných miest pre vysoko kvalifikovaných ľudí vedie k odlivu mozgov, ktorý možno zastaviť prostredníctvom rozvoja kultúry učenia sa a sociálne inovatívnej kultúry v miestnych podnikoch)</w:t>
            </w:r>
          </w:p>
        </w:tc>
      </w:tr>
      <w:tr w:rsidR="00FD1834" w:rsidRPr="00F4427B" w:rsidTr="000F38B6">
        <w:tc>
          <w:tcPr>
            <w:tcW w:w="1526" w:type="dxa"/>
          </w:tcPr>
          <w:p w:rsidR="0070278E" w:rsidRPr="00F4427B" w:rsidRDefault="0070278E" w:rsidP="0070278E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70278E" w:rsidRPr="00F4427B" w:rsidRDefault="00EE39C3" w:rsidP="0070278E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Výsledky</w:t>
            </w:r>
            <w:r w:rsidR="0070278E" w:rsidRPr="00F4427B">
              <w:rPr>
                <w:sz w:val="20"/>
                <w:szCs w:val="20"/>
                <w:lang w:val="sk-SK"/>
              </w:rPr>
              <w:t>:</w:t>
            </w:r>
          </w:p>
          <w:p w:rsidR="0070278E" w:rsidRPr="00F4427B" w:rsidRDefault="00EE39C3" w:rsidP="0070278E">
            <w:pPr>
              <w:pStyle w:val="Odstavecseseznamem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Lepšia by bola formulácia viac zameraná na výsledky</w:t>
            </w:r>
          </w:p>
          <w:p w:rsidR="0070278E" w:rsidRPr="00F4427B" w:rsidRDefault="00EE39C3" w:rsidP="00EE39C3">
            <w:pPr>
              <w:pStyle w:val="Odstavecseseznamem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výsledok č. </w:t>
            </w:r>
            <w:r w:rsidR="0070278E" w:rsidRPr="00F4427B">
              <w:rPr>
                <w:sz w:val="20"/>
                <w:szCs w:val="20"/>
                <w:lang w:val="sk-SK"/>
              </w:rPr>
              <w:t xml:space="preserve"> 3 – </w:t>
            </w:r>
            <w:r w:rsidR="00DC2FD7" w:rsidRPr="00F4427B">
              <w:rPr>
                <w:sz w:val="20"/>
                <w:szCs w:val="20"/>
                <w:lang w:val="sk-SK"/>
              </w:rPr>
              <w:t>KC</w:t>
            </w:r>
            <w:r w:rsidR="0070278E" w:rsidRPr="00F4427B">
              <w:rPr>
                <w:sz w:val="20"/>
                <w:szCs w:val="20"/>
                <w:lang w:val="sk-SK"/>
              </w:rPr>
              <w:t xml:space="preserve">1.1 </w:t>
            </w:r>
            <w:r w:rsidRPr="00F4427B">
              <w:rPr>
                <w:sz w:val="20"/>
                <w:szCs w:val="20"/>
                <w:lang w:val="sk-SK"/>
              </w:rPr>
              <w:t>alebo formulácia zameraná na schopnosti, aby sa zabránilo vzájomným presahom</w:t>
            </w:r>
          </w:p>
        </w:tc>
        <w:tc>
          <w:tcPr>
            <w:tcW w:w="2976" w:type="dxa"/>
          </w:tcPr>
          <w:p w:rsidR="00494EFF" w:rsidRPr="00F4427B" w:rsidRDefault="00DC2FD7" w:rsidP="00DB27E2">
            <w:pPr>
              <w:rPr>
                <w:ins w:id="6" w:author="resch" w:date="2014-10-03T12:04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70278E" w:rsidRPr="00F4427B" w:rsidRDefault="00F5266D" w:rsidP="00B46019">
            <w:pPr>
              <w:rPr>
                <w:sz w:val="20"/>
                <w:szCs w:val="20"/>
                <w:highlight w:val="yellow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</w:t>
            </w:r>
            <w:r w:rsidR="00DB27E2" w:rsidRPr="00F4427B">
              <w:rPr>
                <w:sz w:val="20"/>
                <w:szCs w:val="20"/>
                <w:lang w:val="sk-SK"/>
              </w:rPr>
              <w:t xml:space="preserve"> </w:t>
            </w:r>
            <w:r w:rsidR="00B46019" w:rsidRPr="00F4427B">
              <w:rPr>
                <w:sz w:val="20"/>
                <w:szCs w:val="20"/>
                <w:lang w:val="sk-SK"/>
              </w:rPr>
              <w:t>s preformulovaním “rámca, stratégie” na zabránenie vzájomných presahov s</w:t>
            </w:r>
            <w:r w:rsidR="00DB27E2" w:rsidRPr="00F4427B">
              <w:rPr>
                <w:sz w:val="20"/>
                <w:szCs w:val="20"/>
                <w:lang w:val="sk-SK"/>
              </w:rPr>
              <w:t xml:space="preserve"> </w:t>
            </w:r>
            <w:r w:rsidR="00DC2FD7" w:rsidRPr="00F4427B">
              <w:rPr>
                <w:sz w:val="20"/>
                <w:szCs w:val="20"/>
                <w:lang w:val="sk-SK"/>
              </w:rPr>
              <w:t>KC</w:t>
            </w:r>
            <w:r w:rsidR="00DB27E2" w:rsidRPr="00F4427B">
              <w:rPr>
                <w:sz w:val="20"/>
                <w:szCs w:val="20"/>
                <w:lang w:val="sk-SK"/>
              </w:rPr>
              <w:t>1.1</w:t>
            </w:r>
          </w:p>
        </w:tc>
      </w:tr>
      <w:tr w:rsidR="00FD1834" w:rsidRPr="00F4427B" w:rsidTr="000F38B6">
        <w:tc>
          <w:tcPr>
            <w:tcW w:w="1526" w:type="dxa"/>
          </w:tcPr>
          <w:p w:rsidR="00373A17" w:rsidRPr="00F4427B" w:rsidRDefault="00373A17" w:rsidP="0070278E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373A17" w:rsidRPr="00F4427B" w:rsidRDefault="00EE39C3" w:rsidP="00373A1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Prijímatelia</w:t>
            </w:r>
            <w:r w:rsidR="00775CDF" w:rsidRPr="00F4427B">
              <w:rPr>
                <w:sz w:val="20"/>
                <w:szCs w:val="20"/>
                <w:lang w:val="sk-SK"/>
              </w:rPr>
              <w:t>:</w:t>
            </w:r>
          </w:p>
          <w:p w:rsidR="00775CDF" w:rsidRPr="00F4427B" w:rsidRDefault="00B46019" w:rsidP="00B46019">
            <w:pPr>
              <w:pStyle w:val="Odstavecseseznamem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Nie je opísaný očakávaný príspevok definovaných typov prijímateľov ku konkrétnemu cieľu</w:t>
            </w:r>
            <w:r w:rsidR="00373A17" w:rsidRPr="00F4427B">
              <w:rPr>
                <w:sz w:val="20"/>
                <w:szCs w:val="20"/>
                <w:lang w:val="sk-SK"/>
              </w:rPr>
              <w:t>.</w:t>
            </w:r>
          </w:p>
        </w:tc>
        <w:tc>
          <w:tcPr>
            <w:tcW w:w="2976" w:type="dxa"/>
          </w:tcPr>
          <w:p w:rsidR="00B46019" w:rsidRPr="00F4427B" w:rsidRDefault="00DC2FD7" w:rsidP="00DB2AE4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Čiastočne akceptované</w:t>
            </w:r>
            <w:ins w:id="7" w:author="resch" w:date="2014-10-03T12:16:00Z">
              <w:r w:rsidR="00B518FA" w:rsidRPr="00F4427B">
                <w:rPr>
                  <w:sz w:val="20"/>
                  <w:szCs w:val="20"/>
                  <w:lang w:val="sk-SK"/>
                </w:rPr>
                <w:t xml:space="preserve">: </w:t>
              </w:r>
            </w:ins>
            <w:r w:rsidR="00B46019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Podľa vzoru SFC2014 boli prijímatelia identifikovaní podľa svojho právneho a tematického rozsahu. Zdá sa, že nie je potrebný žiaden ďalší opis.</w:t>
            </w:r>
          </w:p>
          <w:p w:rsidR="00373A17" w:rsidRPr="00F4427B" w:rsidRDefault="00B46019" w:rsidP="00F22F7B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Zostavovatelia </w:t>
            </w:r>
            <w:r w:rsidR="00580CEE" w:rsidRPr="00F4427B">
              <w:rPr>
                <w:sz w:val="20"/>
                <w:szCs w:val="20"/>
                <w:lang w:val="sk-SK"/>
              </w:rPr>
              <w:t>P</w:t>
            </w: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S</w:t>
            </w:r>
            <w:r w:rsidR="00580CEE" w:rsidRPr="00F4427B">
              <w:rPr>
                <w:sz w:val="20"/>
                <w:szCs w:val="20"/>
                <w:lang w:val="sk-SK"/>
              </w:rPr>
              <w:t>: “</w:t>
            </w:r>
            <w:r w:rsidR="00F22F7B" w:rsidRPr="00F4427B">
              <w:rPr>
                <w:sz w:val="20"/>
                <w:szCs w:val="20"/>
                <w:lang w:val="sk-SK"/>
              </w:rPr>
              <w:t xml:space="preserve">Je to napísané podľa požiadaviek </w:t>
            </w:r>
            <w:r w:rsidR="00F22F7B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vzoru SFC2014</w:t>
            </w:r>
            <w:r w:rsidR="00F22F7B" w:rsidRPr="00F4427B">
              <w:rPr>
                <w:sz w:val="20"/>
                <w:szCs w:val="20"/>
                <w:lang w:val="sk-SK"/>
              </w:rPr>
              <w:t>.”</w:t>
            </w:r>
            <w:r w:rsidR="00580CEE" w:rsidRPr="00F4427B">
              <w:rPr>
                <w:sz w:val="20"/>
                <w:szCs w:val="20"/>
                <w:lang w:val="sk-SK"/>
              </w:rPr>
              <w:t>-&gt;</w:t>
            </w:r>
            <w:r w:rsidR="00F22F7B" w:rsidRPr="00F4427B">
              <w:rPr>
                <w:sz w:val="20"/>
                <w:szCs w:val="20"/>
                <w:lang w:val="sk-SK"/>
              </w:rPr>
              <w:t>Hodnotitelia e</w:t>
            </w:r>
            <w:r w:rsidR="00580CEE" w:rsidRPr="00F4427B">
              <w:rPr>
                <w:sz w:val="20"/>
                <w:szCs w:val="20"/>
                <w:lang w:val="sk-SK"/>
              </w:rPr>
              <w:t xml:space="preserve">x-ante </w:t>
            </w:r>
            <w:r w:rsidR="00F22F7B" w:rsidRPr="00F4427B">
              <w:rPr>
                <w:sz w:val="20"/>
                <w:szCs w:val="20"/>
                <w:lang w:val="sk-SK"/>
              </w:rPr>
              <w:t>akceptovali vysvetlenie, odporúčanie sa zamieta</w:t>
            </w:r>
            <w:r w:rsidR="00611BE9" w:rsidRPr="00F4427B">
              <w:rPr>
                <w:sz w:val="20"/>
                <w:szCs w:val="20"/>
                <w:lang w:val="sk-SK"/>
              </w:rPr>
              <w:t>.</w:t>
            </w:r>
          </w:p>
        </w:tc>
      </w:tr>
      <w:tr w:rsidR="00FD1834" w:rsidRPr="00F4427B" w:rsidTr="000F38B6">
        <w:tc>
          <w:tcPr>
            <w:tcW w:w="1526" w:type="dxa"/>
          </w:tcPr>
          <w:p w:rsidR="008479F9" w:rsidRPr="00F4427B" w:rsidRDefault="008479F9" w:rsidP="0070278E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8479F9" w:rsidRPr="00F4427B" w:rsidRDefault="00F22F7B" w:rsidP="00F22F7B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Zapojenie MSP</w:t>
            </w:r>
            <w:r w:rsidR="008479F9" w:rsidRPr="00F4427B">
              <w:rPr>
                <w:sz w:val="20"/>
                <w:szCs w:val="20"/>
                <w:lang w:val="sk-SK"/>
              </w:rPr>
              <w:t xml:space="preserve"> – met</w:t>
            </w:r>
            <w:r w:rsidRPr="00F4427B">
              <w:rPr>
                <w:sz w:val="20"/>
                <w:szCs w:val="20"/>
                <w:lang w:val="sk-SK"/>
              </w:rPr>
              <w:t>ó</w:t>
            </w:r>
            <w:r w:rsidR="008479F9" w:rsidRPr="00F4427B">
              <w:rPr>
                <w:sz w:val="20"/>
                <w:szCs w:val="20"/>
                <w:lang w:val="sk-SK"/>
              </w:rPr>
              <w:t>d</w:t>
            </w:r>
            <w:r w:rsidRPr="00F4427B">
              <w:rPr>
                <w:sz w:val="20"/>
                <w:szCs w:val="20"/>
                <w:lang w:val="sk-SK"/>
              </w:rPr>
              <w:t>a</w:t>
            </w:r>
            <w:r w:rsidR="008479F9" w:rsidRPr="00F4427B">
              <w:rPr>
                <w:sz w:val="20"/>
                <w:szCs w:val="20"/>
                <w:lang w:val="sk-SK"/>
              </w:rPr>
              <w:t>, finan</w:t>
            </w:r>
            <w:r w:rsidRPr="00F4427B">
              <w:rPr>
                <w:sz w:val="20"/>
                <w:szCs w:val="20"/>
                <w:lang w:val="sk-SK"/>
              </w:rPr>
              <w:t>čné otázky</w:t>
            </w:r>
          </w:p>
        </w:tc>
        <w:tc>
          <w:tcPr>
            <w:tcW w:w="2976" w:type="dxa"/>
          </w:tcPr>
          <w:p w:rsidR="00F22F7B" w:rsidRPr="00F4427B" w:rsidRDefault="00DC2FD7" w:rsidP="008479F9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Čiastočne akceptované</w:t>
            </w:r>
            <w:ins w:id="8" w:author="resch" w:date="2014-10-03T12:18:00Z">
              <w:r w:rsidR="00B518FA" w:rsidRPr="00F4427B">
                <w:rPr>
                  <w:sz w:val="20"/>
                  <w:szCs w:val="20"/>
                  <w:lang w:val="sk-SK"/>
                </w:rPr>
                <w:t xml:space="preserve">: </w:t>
              </w:r>
            </w:ins>
            <w:r w:rsidR="00F22F7B" w:rsidRPr="00F4427B">
              <w:rPr>
                <w:color w:val="FF0000"/>
                <w:sz w:val="20"/>
                <w:szCs w:val="20"/>
                <w:u w:val="single"/>
                <w:lang w:val="sk-SK"/>
              </w:rPr>
              <w:lastRenderedPageBreak/>
              <w:t>Súkromné podniky vrátane MSP boli definované ako prijímatelia, aby sa umožnilo pružné zloženie partnerstiev;  Podrobnosti o zapojen</w:t>
            </w:r>
            <w:r w:rsidR="003A1AD7">
              <w:rPr>
                <w:color w:val="FF0000"/>
                <w:sz w:val="20"/>
                <w:szCs w:val="20"/>
                <w:u w:val="single"/>
                <w:lang w:val="sk-SK"/>
              </w:rPr>
              <w:t>í</w:t>
            </w:r>
            <w:r w:rsidR="00F22F7B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súkromných podnikov budú opísané v konkrétnych výzvach</w:t>
            </w:r>
            <w:r w:rsidR="00F22F7B" w:rsidRPr="00F4427B">
              <w:rPr>
                <w:sz w:val="20"/>
                <w:szCs w:val="20"/>
                <w:lang w:val="sk-SK"/>
              </w:rPr>
              <w:t>.</w:t>
            </w:r>
          </w:p>
          <w:p w:rsidR="00F22F7B" w:rsidRPr="00F4427B" w:rsidRDefault="00F22F7B" w:rsidP="008479F9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Stanovisko ÚNHP: “Je veľmi nepravdepodobné, že sa MSP budú uchádzať o podporu priamo. Možno ich ponechať v zozname možných prijímateľov.”</w:t>
            </w:r>
          </w:p>
          <w:p w:rsidR="006658DA" w:rsidRPr="00F4427B" w:rsidRDefault="00F22F7B" w:rsidP="00F22F7B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Rozhodnutie: MSP budú naďalej patriť medzi prijímateľov a nie je potrebný opis metódy ich financovania.</w:t>
            </w:r>
          </w:p>
        </w:tc>
      </w:tr>
      <w:tr w:rsidR="00FD1834" w:rsidRPr="00F4427B" w:rsidTr="000F38B6">
        <w:tc>
          <w:tcPr>
            <w:tcW w:w="1526" w:type="dxa"/>
          </w:tcPr>
          <w:p w:rsidR="00373A17" w:rsidRPr="00F4427B" w:rsidRDefault="00373A17" w:rsidP="0070278E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373A17" w:rsidRPr="00F4427B" w:rsidRDefault="00F22F7B" w:rsidP="00373A1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Usmerňovacie zásady výberu operácie:</w:t>
            </w:r>
          </w:p>
          <w:p w:rsidR="00373A17" w:rsidRPr="00F4427B" w:rsidRDefault="00F22F7B" w:rsidP="00373A17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vzájomné obohacovanie</w:t>
            </w:r>
          </w:p>
          <w:p w:rsidR="00373A17" w:rsidRPr="00F4427B" w:rsidRDefault="00F22F7B" w:rsidP="00373A17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prepojenia naprieč disciplínami</w:t>
            </w:r>
          </w:p>
          <w:p w:rsidR="00373A17" w:rsidRPr="00F4427B" w:rsidRDefault="00F22F7B" w:rsidP="00373A17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priestorové aspekty </w:t>
            </w:r>
            <w:r w:rsidR="00373A17" w:rsidRPr="00F4427B">
              <w:rPr>
                <w:sz w:val="20"/>
                <w:szCs w:val="20"/>
                <w:lang w:val="sk-SK"/>
              </w:rPr>
              <w:t>(</w:t>
            </w:r>
            <w:r w:rsidRPr="00F4427B">
              <w:rPr>
                <w:sz w:val="20"/>
                <w:szCs w:val="20"/>
                <w:lang w:val="sk-SK"/>
              </w:rPr>
              <w:t>menej rozvinuté + rozvinuté</w:t>
            </w:r>
            <w:r w:rsidR="00373A17" w:rsidRPr="00F4427B">
              <w:rPr>
                <w:sz w:val="20"/>
                <w:szCs w:val="20"/>
                <w:lang w:val="sk-SK"/>
              </w:rPr>
              <w:t>)</w:t>
            </w:r>
          </w:p>
          <w:p w:rsidR="00373A17" w:rsidRPr="00F4427B" w:rsidRDefault="00F22F7B" w:rsidP="00373A17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ekologické inovácie</w:t>
            </w:r>
            <w:r w:rsidR="00373A17" w:rsidRPr="00F4427B">
              <w:rPr>
                <w:sz w:val="20"/>
                <w:szCs w:val="20"/>
                <w:lang w:val="sk-SK"/>
              </w:rPr>
              <w:t xml:space="preserve">, </w:t>
            </w:r>
            <w:r w:rsidRPr="00F4427B">
              <w:rPr>
                <w:sz w:val="20"/>
                <w:szCs w:val="20"/>
                <w:lang w:val="sk-SK"/>
              </w:rPr>
              <w:t>spoločenské výzvy</w:t>
            </w:r>
          </w:p>
          <w:p w:rsidR="00373A17" w:rsidRPr="00F4427B" w:rsidRDefault="008961D9" w:rsidP="00373A17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stratégia pre inteligentnú špecializáciu</w:t>
            </w:r>
          </w:p>
          <w:p w:rsidR="009940A8" w:rsidRPr="00F4427B" w:rsidRDefault="009940A8" w:rsidP="009940A8">
            <w:pPr>
              <w:pStyle w:val="Odstavecseseznamem"/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</w:tcPr>
          <w:p w:rsidR="008961D9" w:rsidRPr="00F4427B" w:rsidRDefault="00DC2FD7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Čiastočne akceptované</w:t>
            </w:r>
            <w:ins w:id="9" w:author="resch" w:date="2014-10-03T12:22:00Z">
              <w:r w:rsidR="00C95765" w:rsidRPr="00F4427B">
                <w:rPr>
                  <w:sz w:val="20"/>
                  <w:szCs w:val="20"/>
                  <w:lang w:val="sk-SK"/>
                </w:rPr>
                <w:t xml:space="preserve">: </w:t>
              </w:r>
            </w:ins>
            <w:r w:rsidR="008961D9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Zoznam kritérií na výber projektu v PS časti 5.3.3 bude rozšírený o nasledujúce </w:t>
            </w:r>
            <w:r w:rsidR="003A1AD7">
              <w:rPr>
                <w:color w:val="FF0000"/>
                <w:sz w:val="20"/>
                <w:szCs w:val="20"/>
                <w:u w:val="single"/>
                <w:lang w:val="sk-SK"/>
              </w:rPr>
              <w:t>kritériá</w:t>
            </w:r>
            <w:r w:rsidR="008961D9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podľa nemeckého návrhu:</w:t>
            </w:r>
          </w:p>
          <w:p w:rsidR="008961D9" w:rsidRPr="00F4427B" w:rsidRDefault="008961D9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-príspevok k trvalo udržateľnému rozvoju</w:t>
            </w:r>
          </w:p>
          <w:p w:rsidR="008961D9" w:rsidRPr="00F4427B" w:rsidRDefault="008961D9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-príspevok k integrovanému územnému prístupu</w:t>
            </w:r>
          </w:p>
          <w:p w:rsidR="008961D9" w:rsidRPr="00F4427B" w:rsidRDefault="008961D9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-príspevok k príprave investícií v nadnárodnom kontexte.</w:t>
            </w:r>
          </w:p>
          <w:p w:rsidR="008961D9" w:rsidRPr="00F4427B" w:rsidRDefault="008961D9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Podrobné kritériá posudzovania budú stanovené a dané k dispozícii potenciálnym žiadateľom v Programovej príručke a v Balíkoch pre žiadosti špecifických pre jednotlivé výzvy.</w:t>
            </w:r>
          </w:p>
          <w:p w:rsidR="00373A17" w:rsidRPr="00F4427B" w:rsidRDefault="00853981" w:rsidP="003A1A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V časti “usmerňovacie zásady výberu operácií”, ktorú treba vyplniť pre každú IP, </w:t>
            </w:r>
            <w:r w:rsidR="003A1AD7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sa </w:t>
            </w: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urobí krížový odkaz na PS časť 5.3.3 a na Programovú príručku, aby sa zabránilo opakovaní. Okrem toho budú vymenované niektoré aspekty, špecifické pre jednotlivé témy, ktoré možno zvážiť na dosiahnutie konkrétneho cieľa a predpokladaných výsledkov.</w:t>
            </w:r>
          </w:p>
        </w:tc>
      </w:tr>
      <w:tr w:rsidR="00F30121" w:rsidRPr="00F4427B" w:rsidTr="000F38B6">
        <w:tc>
          <w:tcPr>
            <w:tcW w:w="9180" w:type="dxa"/>
            <w:gridSpan w:val="3"/>
          </w:tcPr>
          <w:p w:rsidR="00F30121" w:rsidRPr="00F4427B" w:rsidRDefault="00F30121" w:rsidP="0085398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lang w:val="sk-SK"/>
              </w:rPr>
              <w:t>Priorit</w:t>
            </w:r>
            <w:r w:rsidR="00853981" w:rsidRPr="00F4427B">
              <w:rPr>
                <w:lang w:val="sk-SK"/>
              </w:rPr>
              <w:t>ná os</w:t>
            </w:r>
            <w:r w:rsidRPr="00F4427B">
              <w:rPr>
                <w:lang w:val="sk-SK"/>
              </w:rPr>
              <w:t xml:space="preserve"> 2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DC2FD7" w:rsidP="00C96E71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TC</w:t>
            </w:r>
            <w:r w:rsidR="00F30121" w:rsidRPr="00F4427B">
              <w:rPr>
                <w:b/>
                <w:sz w:val="20"/>
                <w:szCs w:val="20"/>
                <w:lang w:val="sk-SK"/>
              </w:rPr>
              <w:t>6 – IP6c</w:t>
            </w:r>
          </w:p>
        </w:tc>
        <w:tc>
          <w:tcPr>
            <w:tcW w:w="4678" w:type="dxa"/>
          </w:tcPr>
          <w:p w:rsidR="00F30121" w:rsidRPr="00F4427B" w:rsidRDefault="00853981" w:rsidP="00C96E7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Odôvodnenie výberu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853981" w:rsidP="0085398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Odôvodnenie výberu by malo byť zlepšené</w:t>
            </w:r>
          </w:p>
        </w:tc>
        <w:tc>
          <w:tcPr>
            <w:tcW w:w="2976" w:type="dxa"/>
          </w:tcPr>
          <w:p w:rsidR="00FD337A" w:rsidRPr="00F4427B" w:rsidRDefault="00DC2FD7" w:rsidP="00802C06">
            <w:pPr>
              <w:rPr>
                <w:ins w:id="10" w:author="resch" w:date="2014-10-03T13:29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F30121" w:rsidRPr="00F4427B" w:rsidRDefault="00853981" w:rsidP="0085398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by mohli zvážiť pridanie ďalšej odrážky do odôvodnenia.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853981" w:rsidP="00EA2830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Externé faktory, k</w:t>
            </w:r>
            <w:r w:rsidR="007C2A6D" w:rsidRPr="00F4427B">
              <w:rPr>
                <w:sz w:val="20"/>
                <w:szCs w:val="20"/>
                <w:lang w:val="sk-SK"/>
              </w:rPr>
              <w:t xml:space="preserve">toré by mohli ovplyvniť zamýšľané výsledky, neboli identifikované (údaje, trendy, rozdiely v politikách atď.), niektoré zistenia nemajú oporu v kapitole stratégie Programu (napr. hlavné produkty cestovného ruchu, existujúci aktéri a siete, na ktorých </w:t>
            </w:r>
            <w:r w:rsidR="007C2A6D" w:rsidRPr="00F4427B">
              <w:rPr>
                <w:sz w:val="20"/>
                <w:szCs w:val="20"/>
                <w:lang w:val="sk-SK"/>
              </w:rPr>
              <w:lastRenderedPageBreak/>
              <w:t>sa bude stavať, existujúce spoločné stratégie, problematika udržateľnej mobility</w:t>
            </w:r>
          </w:p>
        </w:tc>
        <w:tc>
          <w:tcPr>
            <w:tcW w:w="2976" w:type="dxa"/>
          </w:tcPr>
          <w:p w:rsidR="00FD337A" w:rsidRPr="00F4427B" w:rsidRDefault="00DC2FD7" w:rsidP="00802C06">
            <w:pPr>
              <w:rPr>
                <w:ins w:id="11" w:author="resch" w:date="2014-10-03T13:29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lastRenderedPageBreak/>
              <w:t>Čiastočne akceptované</w:t>
            </w:r>
            <w:ins w:id="12" w:author="resch" w:date="2014-10-03T13:29:00Z">
              <w:r w:rsidR="00FD337A" w:rsidRPr="00F4427B">
                <w:rPr>
                  <w:sz w:val="20"/>
                  <w:szCs w:val="20"/>
                  <w:lang w:val="sk-SK"/>
                </w:rPr>
                <w:t xml:space="preserve"> </w:t>
              </w:r>
            </w:ins>
            <w:r w:rsidR="00EA2830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z dôvodu chýbajúcej informačnej bázy</w:t>
            </w:r>
          </w:p>
          <w:p w:rsidR="00EA2830" w:rsidRPr="00F4427B" w:rsidRDefault="00EA2830" w:rsidP="00802C06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sa pokúsia pridať niekoľko ďalších údajov.</w:t>
            </w:r>
          </w:p>
          <w:p w:rsidR="00F30121" w:rsidRPr="00F4427B" w:rsidRDefault="00F30121" w:rsidP="00802C06">
            <w:pPr>
              <w:rPr>
                <w:sz w:val="20"/>
                <w:szCs w:val="20"/>
                <w:lang w:val="sk-SK"/>
              </w:rPr>
            </w:pP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EA2830" w:rsidP="008052C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Energetická efektívnosť, otázky zmeny klímy (ako hlavné prvky EÚ 2020 a SEÚDR</w:t>
            </w:r>
            <w:r w:rsidR="008052C1" w:rsidRPr="00F4427B">
              <w:rPr>
                <w:sz w:val="20"/>
                <w:szCs w:val="20"/>
                <w:lang w:val="sk-SK"/>
              </w:rPr>
              <w:t xml:space="preserve"> a ako zdôraznená výzvy v Regionálnej analýze</w:t>
            </w:r>
            <w:r w:rsidRPr="00F4427B">
              <w:rPr>
                <w:sz w:val="20"/>
                <w:szCs w:val="20"/>
                <w:lang w:val="sk-SK"/>
              </w:rPr>
              <w:t>)</w:t>
            </w:r>
            <w:r w:rsidR="008052C1" w:rsidRPr="00F4427B">
              <w:rPr>
                <w:sz w:val="20"/>
                <w:szCs w:val="20"/>
                <w:lang w:val="sk-SK"/>
              </w:rPr>
              <w:t xml:space="preserve"> sú integrované do hlavných oblastí spolupráce; tento prístup je trochu nasilu: namiesto začlenenia týchto otázok do IP ako samostatné opatrenie je odporúčané, aby boli riešené ako horizontálne aspekty alebo usmerňovací princíp výberu operácie.</w:t>
            </w:r>
          </w:p>
        </w:tc>
        <w:tc>
          <w:tcPr>
            <w:tcW w:w="2976" w:type="dxa"/>
          </w:tcPr>
          <w:p w:rsidR="00FD337A" w:rsidRPr="00F4427B" w:rsidRDefault="00DC2FD7" w:rsidP="00FD337A">
            <w:pPr>
              <w:rPr>
                <w:ins w:id="13" w:author="resch" w:date="2014-10-03T13:30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F30121" w:rsidRPr="00F4427B" w:rsidRDefault="00F5266D" w:rsidP="008052C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 </w:t>
            </w:r>
            <w:r w:rsidR="008052C1" w:rsidRPr="00F4427B">
              <w:rPr>
                <w:sz w:val="20"/>
                <w:szCs w:val="20"/>
                <w:lang w:val="sk-SK"/>
              </w:rPr>
              <w:t>s pridaním nasledujúceho textu:</w:t>
            </w:r>
            <w:r w:rsidR="001D1CB9" w:rsidRPr="00F4427B">
              <w:rPr>
                <w:sz w:val="20"/>
                <w:szCs w:val="20"/>
                <w:lang w:val="sk-SK"/>
              </w:rPr>
              <w:t xml:space="preserve"> </w:t>
            </w:r>
            <w:r w:rsidR="008052C1" w:rsidRPr="00F4427B">
              <w:rPr>
                <w:sz w:val="20"/>
                <w:szCs w:val="20"/>
                <w:lang w:val="sk-SK"/>
              </w:rPr>
              <w:t>”financovanie sa môže uskutočniť len ako súčasť udržateľných aktivít, nie ako samostatné opatrenia, len ako integrovaná súčasť iných.”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8052C1" w:rsidP="00C96E7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Výsledky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8052C1" w:rsidP="00C96E71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zlepšené </w:t>
            </w:r>
            <w:r w:rsidR="00F30121" w:rsidRPr="00F4427B">
              <w:rPr>
                <w:sz w:val="20"/>
                <w:szCs w:val="20"/>
                <w:lang w:val="sk-SK"/>
              </w:rPr>
              <w:t>strat</w:t>
            </w:r>
            <w:r w:rsidRPr="00F4427B">
              <w:rPr>
                <w:sz w:val="20"/>
                <w:szCs w:val="20"/>
                <w:lang w:val="sk-SK"/>
              </w:rPr>
              <w:t>égie</w:t>
            </w:r>
            <w:r w:rsidR="00F30121" w:rsidRPr="00F4427B">
              <w:rPr>
                <w:sz w:val="20"/>
                <w:szCs w:val="20"/>
                <w:lang w:val="sk-SK"/>
              </w:rPr>
              <w:t>?</w:t>
            </w:r>
          </w:p>
          <w:p w:rsidR="00F30121" w:rsidRPr="00F4427B" w:rsidRDefault="008052C1" w:rsidP="00C96E71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príliš komplexné</w:t>
            </w:r>
          </w:p>
          <w:p w:rsidR="00F30121" w:rsidRPr="00F4427B" w:rsidRDefault="00F30121" w:rsidP="00C96E71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energ</w:t>
            </w:r>
            <w:r w:rsidR="008052C1" w:rsidRPr="00F4427B">
              <w:rPr>
                <w:sz w:val="20"/>
                <w:szCs w:val="20"/>
                <w:lang w:val="sk-SK"/>
              </w:rPr>
              <w:t>ia</w:t>
            </w:r>
            <w:r w:rsidRPr="00F4427B">
              <w:rPr>
                <w:sz w:val="20"/>
                <w:szCs w:val="20"/>
                <w:lang w:val="sk-SK"/>
              </w:rPr>
              <w:t xml:space="preserve">, </w:t>
            </w:r>
            <w:r w:rsidR="008052C1" w:rsidRPr="00F4427B">
              <w:rPr>
                <w:sz w:val="20"/>
                <w:szCs w:val="20"/>
                <w:lang w:val="sk-SK"/>
              </w:rPr>
              <w:t>manažment mobility – príliš široké</w:t>
            </w:r>
          </w:p>
          <w:p w:rsidR="00F30121" w:rsidRPr="00F4427B" w:rsidRDefault="008052C1" w:rsidP="008052C1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intenzívnejšie úvahy sú potrebné hlavné výzvy a potreby </w:t>
            </w:r>
            <w:r w:rsidR="00F30121" w:rsidRPr="00F4427B">
              <w:rPr>
                <w:sz w:val="20"/>
                <w:szCs w:val="20"/>
                <w:lang w:val="sk-SK"/>
              </w:rPr>
              <w:t>(</w:t>
            </w:r>
            <w:r w:rsidRPr="00F4427B">
              <w:rPr>
                <w:sz w:val="20"/>
                <w:szCs w:val="20"/>
                <w:lang w:val="sk-SK"/>
              </w:rPr>
              <w:t>napr.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 </w:t>
            </w:r>
            <w:r w:rsidRPr="00F4427B">
              <w:rPr>
                <w:sz w:val="20"/>
                <w:szCs w:val="20"/>
                <w:lang w:val="sk-SK"/>
              </w:rPr>
              <w:t>jazyková identita</w:t>
            </w:r>
            <w:r w:rsidR="00F30121" w:rsidRPr="00F4427B">
              <w:rPr>
                <w:sz w:val="20"/>
                <w:szCs w:val="20"/>
                <w:lang w:val="sk-SK"/>
              </w:rPr>
              <w:t>)</w:t>
            </w:r>
          </w:p>
        </w:tc>
        <w:tc>
          <w:tcPr>
            <w:tcW w:w="2976" w:type="dxa"/>
          </w:tcPr>
          <w:p w:rsidR="003B0BD2" w:rsidRPr="00F4427B" w:rsidRDefault="00DC2FD7" w:rsidP="00802C06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  <w:ins w:id="14" w:author="resch" w:date="2014-10-03T13:30:00Z">
              <w:r w:rsidR="00FD337A" w:rsidRPr="00F4427B">
                <w:rPr>
                  <w:sz w:val="20"/>
                  <w:szCs w:val="20"/>
                  <w:lang w:val="sk-SK"/>
                </w:rPr>
                <w:t xml:space="preserve">; </w:t>
              </w:r>
            </w:ins>
            <w:r w:rsidR="003B0BD2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jazyková identita bude prepísaná; energia, manažment mobility sú integrované súčasti trvalo udržateľného rozvoja cestovného ruchu</w:t>
            </w:r>
          </w:p>
          <w:p w:rsidR="00FD337A" w:rsidRPr="00F4427B" w:rsidRDefault="00FD337A" w:rsidP="00802C06">
            <w:pPr>
              <w:rPr>
                <w:ins w:id="15" w:author="resch" w:date="2014-10-03T13:33:00Z"/>
                <w:sz w:val="20"/>
                <w:szCs w:val="20"/>
                <w:lang w:val="sk-SK"/>
              </w:rPr>
            </w:pPr>
          </w:p>
          <w:p w:rsidR="009957B9" w:rsidRPr="00F4427B" w:rsidRDefault="009957B9" w:rsidP="00802C06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skontrolujú, ktorý člen PV požiadal o použitie výrazu “jazyková” a potom by sa malo prijať rozhodnutie o jeho možnom zmazaní.</w:t>
            </w:r>
          </w:p>
          <w:p w:rsidR="00B66CDB" w:rsidRPr="00F4427B" w:rsidRDefault="009957B9" w:rsidP="006978F8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Program nemôže definovať cieľové hodnoty pre spoločný ukazovateľ výstupov EÚ (v rámci </w:t>
            </w:r>
            <w:r w:rsidR="00990EBC" w:rsidRPr="00F4427B">
              <w:rPr>
                <w:sz w:val="20"/>
                <w:szCs w:val="20"/>
                <w:lang w:val="sk-SK"/>
              </w:rPr>
              <w:t xml:space="preserve">prípravných aktivít </w:t>
            </w:r>
            <w:r w:rsidRPr="00F4427B">
              <w:rPr>
                <w:sz w:val="20"/>
                <w:szCs w:val="20"/>
                <w:lang w:val="sk-SK"/>
              </w:rPr>
              <w:t>Programu</w:t>
            </w:r>
            <w:r w:rsidR="00990EBC" w:rsidRPr="00F4427B">
              <w:rPr>
                <w:sz w:val="20"/>
                <w:szCs w:val="20"/>
                <w:lang w:val="sk-SK"/>
              </w:rPr>
              <w:t xml:space="preserve"> budú podporované a</w:t>
            </w:r>
            <w:r w:rsidR="006978F8" w:rsidRPr="00F4427B">
              <w:rPr>
                <w:sz w:val="20"/>
                <w:szCs w:val="20"/>
                <w:lang w:val="sk-SK"/>
              </w:rPr>
              <w:t>k</w:t>
            </w:r>
            <w:r w:rsidR="00990EBC" w:rsidRPr="00F4427B">
              <w:rPr>
                <w:sz w:val="20"/>
                <w:szCs w:val="20"/>
                <w:lang w:val="sk-SK"/>
              </w:rPr>
              <w:t>tivity smerom k zlepšeným rámcovým podmienkam atď., k</w:t>
            </w:r>
            <w:r w:rsidR="006978F8" w:rsidRPr="00F4427B">
              <w:rPr>
                <w:sz w:val="20"/>
                <w:szCs w:val="20"/>
                <w:lang w:val="sk-SK"/>
              </w:rPr>
              <w:t>toré nemajú priamy vplyv na obrat v oblasti cestovného ruchu) – to je dôvod, prečo tento ukazovateľ bol zmazaný; to je pre hodnotiteľov ex-ante akceptovateľné.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F30121" w:rsidP="00C96E7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Typ</w:t>
            </w:r>
            <w:r w:rsidR="006978F8" w:rsidRPr="00F4427B">
              <w:rPr>
                <w:sz w:val="20"/>
                <w:szCs w:val="20"/>
                <w:lang w:val="sk-SK"/>
              </w:rPr>
              <w:t>y opatrení</w:t>
            </w:r>
            <w:r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6978F8" w:rsidP="00E4724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spotreba energie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, </w:t>
            </w:r>
            <w:r w:rsidRPr="00F4427B">
              <w:rPr>
                <w:sz w:val="20"/>
                <w:szCs w:val="20"/>
                <w:lang w:val="sk-SK"/>
              </w:rPr>
              <w:t>udržateľná mobilita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 – </w:t>
            </w:r>
            <w:r w:rsidR="00F62206" w:rsidRPr="00F4427B">
              <w:rPr>
                <w:sz w:val="20"/>
                <w:szCs w:val="20"/>
                <w:lang w:val="sk-SK"/>
              </w:rPr>
              <w:t>skôr horizontálne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, </w:t>
            </w:r>
            <w:r w:rsidR="00F62206" w:rsidRPr="00F4427B">
              <w:rPr>
                <w:sz w:val="20"/>
                <w:szCs w:val="20"/>
                <w:lang w:val="sk-SK"/>
              </w:rPr>
              <w:t>alebo usmerňovacie zásady</w:t>
            </w:r>
          </w:p>
          <w:p w:rsidR="00F30121" w:rsidRPr="00F4427B" w:rsidRDefault="00F62206" w:rsidP="00E4724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plán riadenia rizík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 – </w:t>
            </w:r>
            <w:r w:rsidRPr="00F4427B">
              <w:rPr>
                <w:sz w:val="20"/>
                <w:szCs w:val="20"/>
                <w:lang w:val="sk-SK"/>
              </w:rPr>
              <w:t>nezávislá aktivita</w:t>
            </w:r>
            <w:r w:rsidR="00F30121" w:rsidRPr="00F4427B">
              <w:rPr>
                <w:sz w:val="20"/>
                <w:szCs w:val="20"/>
                <w:lang w:val="sk-SK"/>
              </w:rPr>
              <w:t>?</w:t>
            </w:r>
          </w:p>
          <w:p w:rsidR="00F30121" w:rsidRPr="00F4427B" w:rsidRDefault="00F62206" w:rsidP="00F62206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zabránenie vzájomných presahov</w:t>
            </w:r>
          </w:p>
        </w:tc>
        <w:tc>
          <w:tcPr>
            <w:tcW w:w="2976" w:type="dxa"/>
          </w:tcPr>
          <w:p w:rsidR="005A3093" w:rsidRPr="00F4427B" w:rsidRDefault="00F62206" w:rsidP="00B34750">
            <w:pPr>
              <w:rPr>
                <w:ins w:id="16" w:author="resch" w:date="2014-10-03T13:33:00Z"/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Pozri vyššie</w:t>
            </w:r>
          </w:p>
          <w:p w:rsidR="00F30121" w:rsidRPr="00F4427B" w:rsidRDefault="00F5266D" w:rsidP="003A1A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</w:t>
            </w:r>
            <w:r w:rsidR="003A1AD7">
              <w:rPr>
                <w:sz w:val="20"/>
                <w:szCs w:val="20"/>
                <w:lang w:val="sk-SK"/>
              </w:rPr>
              <w:t xml:space="preserve"> s tým, že sa</w:t>
            </w:r>
            <w:r w:rsidR="00B34750" w:rsidRPr="00F4427B">
              <w:rPr>
                <w:sz w:val="20"/>
                <w:szCs w:val="20"/>
                <w:lang w:val="sk-SK"/>
              </w:rPr>
              <w:t xml:space="preserve"> </w:t>
            </w:r>
            <w:r w:rsidR="00F62206" w:rsidRPr="00F4427B">
              <w:rPr>
                <w:sz w:val="20"/>
                <w:szCs w:val="20"/>
                <w:lang w:val="sk-SK"/>
              </w:rPr>
              <w:t>zdôrazn</w:t>
            </w:r>
            <w:r w:rsidR="003A1AD7">
              <w:rPr>
                <w:sz w:val="20"/>
                <w:szCs w:val="20"/>
                <w:lang w:val="sk-SK"/>
              </w:rPr>
              <w:t>í</w:t>
            </w:r>
            <w:r w:rsidR="00F62206" w:rsidRPr="00F4427B">
              <w:rPr>
                <w:sz w:val="20"/>
                <w:szCs w:val="20"/>
                <w:lang w:val="sk-SK"/>
              </w:rPr>
              <w:t xml:space="preserve"> v texte, že tieto typy opatrení môžu byť implementované len ako súčasť projektu integrovaného rozvoja cestovného ruchu (a nie ako nezávislé opatrenia – najmä riadenia rizík)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F62206" w:rsidP="00C96E71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Usmerňovacie zásady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F62206" w:rsidP="00E4724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otázky energie</w:t>
            </w:r>
          </w:p>
          <w:p w:rsidR="00F30121" w:rsidRPr="00F4427B" w:rsidRDefault="00F62206" w:rsidP="00E4724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priestorové aspekty</w:t>
            </w:r>
          </w:p>
          <w:p w:rsidR="00F30121" w:rsidRPr="00F4427B" w:rsidRDefault="00F62206" w:rsidP="00F62206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vzájomné obohacovanie</w:t>
            </w:r>
          </w:p>
        </w:tc>
        <w:tc>
          <w:tcPr>
            <w:tcW w:w="2976" w:type="dxa"/>
          </w:tcPr>
          <w:p w:rsidR="005A3093" w:rsidRPr="00F4427B" w:rsidRDefault="00F62206" w:rsidP="00C96E71">
            <w:pPr>
              <w:rPr>
                <w:ins w:id="17" w:author="resch" w:date="2014-10-03T13:34:00Z"/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Pozri vyššie</w:t>
            </w:r>
          </w:p>
          <w:p w:rsidR="00F30121" w:rsidRPr="00F4427B" w:rsidRDefault="00F62206" w:rsidP="00F70D2F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pozri </w:t>
            </w:r>
            <w:r w:rsidR="00F70D2F" w:rsidRPr="00F4427B">
              <w:rPr>
                <w:sz w:val="20"/>
                <w:szCs w:val="20"/>
                <w:lang w:val="sk-SK"/>
              </w:rPr>
              <w:t>hore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DC2FD7" w:rsidP="00C96E71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TC</w:t>
            </w:r>
            <w:r w:rsidR="00F30121" w:rsidRPr="00F4427B">
              <w:rPr>
                <w:b/>
                <w:sz w:val="20"/>
                <w:szCs w:val="20"/>
                <w:lang w:val="sk-SK"/>
              </w:rPr>
              <w:t>6 – IP6d</w:t>
            </w:r>
          </w:p>
        </w:tc>
        <w:tc>
          <w:tcPr>
            <w:tcW w:w="4678" w:type="dxa"/>
          </w:tcPr>
          <w:p w:rsidR="00F30121" w:rsidRPr="00F4427B" w:rsidRDefault="00F62206" w:rsidP="00F62206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Otázky vodného hospodárstva a predchádzania riziku sú integrované do tejto IP, čo je problematický prístup – malo by sa poskytnúť lepšie odôvodnenie výberu IP so zameraním na ochranu </w:t>
            </w:r>
            <w:r w:rsidR="001D1CB9" w:rsidRPr="00F4427B">
              <w:rPr>
                <w:sz w:val="20"/>
                <w:szCs w:val="20"/>
                <w:lang w:val="sk-SK"/>
              </w:rPr>
              <w:t>biodiverzity</w:t>
            </w:r>
            <w:r w:rsidRPr="00F4427B">
              <w:rPr>
                <w:sz w:val="20"/>
                <w:szCs w:val="20"/>
                <w:lang w:val="sk-SK"/>
              </w:rPr>
              <w:t xml:space="preserve"> s nástrojmi vodného hospodárstva a predchádzania rizikám.</w:t>
            </w:r>
          </w:p>
        </w:tc>
        <w:tc>
          <w:tcPr>
            <w:tcW w:w="2976" w:type="dxa"/>
          </w:tcPr>
          <w:p w:rsidR="00F62206" w:rsidRPr="00F4427B" w:rsidRDefault="00DC2FD7" w:rsidP="00B457F8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  <w:ins w:id="18" w:author="resch" w:date="2014-10-03T13:34:00Z">
              <w:r w:rsidR="005A3093" w:rsidRPr="00F4427B">
                <w:rPr>
                  <w:sz w:val="20"/>
                  <w:szCs w:val="20"/>
                  <w:lang w:val="sk-SK"/>
                </w:rPr>
                <w:t xml:space="preserve">;  </w:t>
              </w:r>
            </w:ins>
            <w:r w:rsidR="00F70D2F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Témy vodného hospodárstvo a </w:t>
            </w:r>
            <w:r w:rsidR="003A1AD7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predchádzanie</w:t>
            </w:r>
            <w:r w:rsidR="00F70D2F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</w:t>
            </w:r>
            <w:r w:rsidR="003A1AD7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rizikám</w:t>
            </w:r>
            <w:r w:rsidR="00F70D2F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sú jasne prepojené s podporou a ochranou ekosystémových služieb, ktoré sa explicitne riešia v rámci IP 6d (cieľom nie je len </w:t>
            </w:r>
            <w:r w:rsidR="00F70D2F" w:rsidRPr="00F4427B">
              <w:rPr>
                <w:color w:val="FF0000"/>
                <w:sz w:val="20"/>
                <w:szCs w:val="20"/>
                <w:u w:val="single"/>
                <w:lang w:val="sk-SK"/>
              </w:rPr>
              <w:lastRenderedPageBreak/>
              <w:t>biodiverzita). Program tu používa integrovaný prístup.</w:t>
            </w:r>
          </w:p>
          <w:p w:rsidR="00F30121" w:rsidRPr="00F4427B" w:rsidRDefault="00F70D2F" w:rsidP="001D1CB9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súhlasia s návrhom hodnotiteľov ex-ante, aby sa pridal aspoň ďalší opis k časti “predpokladané výsledky” (intervencie sú zamerané na ochranu životného prostredia, zachovanie biodiver</w:t>
            </w:r>
            <w:r w:rsidR="001D1CB9" w:rsidRPr="00F4427B">
              <w:rPr>
                <w:sz w:val="20"/>
                <w:szCs w:val="20"/>
                <w:lang w:val="sk-SK"/>
              </w:rPr>
              <w:t>z</w:t>
            </w:r>
            <w:r w:rsidRPr="00F4427B">
              <w:rPr>
                <w:sz w:val="20"/>
                <w:szCs w:val="20"/>
                <w:lang w:val="sk-SK"/>
              </w:rPr>
              <w:t>ity a podporu ekosystémových služieb).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F70D2F" w:rsidP="00F70D2F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Formulácie KC viac zamerané na výsledky</w:t>
            </w:r>
          </w:p>
        </w:tc>
        <w:tc>
          <w:tcPr>
            <w:tcW w:w="2976" w:type="dxa"/>
          </w:tcPr>
          <w:p w:rsidR="00E416ED" w:rsidRPr="00F4427B" w:rsidRDefault="00DC2FD7" w:rsidP="00907A1D">
            <w:pPr>
              <w:rPr>
                <w:ins w:id="19" w:author="resch" w:date="2014-10-03T13:37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</w:p>
          <w:p w:rsidR="00F30121" w:rsidRPr="00F4427B" w:rsidRDefault="00F5266D" w:rsidP="00F70D2F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súhlasili</w:t>
            </w:r>
            <w:r w:rsidR="00F70D2F" w:rsidRPr="00F4427B">
              <w:rPr>
                <w:sz w:val="20"/>
                <w:szCs w:val="20"/>
                <w:lang w:val="sk-SK"/>
              </w:rPr>
              <w:t xml:space="preserve">, že to zmenia: preformulujú to na </w:t>
            </w:r>
            <w:r w:rsidR="00907A1D" w:rsidRPr="00F4427B">
              <w:rPr>
                <w:sz w:val="20"/>
                <w:szCs w:val="20"/>
                <w:lang w:val="sk-SK"/>
              </w:rPr>
              <w:t>“</w:t>
            </w:r>
            <w:r w:rsidR="00F70D2F" w:rsidRPr="00F4427B">
              <w:rPr>
                <w:sz w:val="20"/>
                <w:szCs w:val="20"/>
                <w:lang w:val="sk-SK"/>
              </w:rPr>
              <w:t>viac zamerané na výsledky</w:t>
            </w:r>
            <w:r w:rsidR="00907A1D" w:rsidRPr="00F4427B">
              <w:rPr>
                <w:sz w:val="20"/>
                <w:szCs w:val="20"/>
                <w:lang w:val="sk-SK"/>
              </w:rPr>
              <w:t>”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C96E71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F62206" w:rsidP="001E3014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Usmerňovacia zásada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E850E4" w:rsidP="001E3014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komplexný prístup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, </w:t>
            </w:r>
            <w:r w:rsidRPr="00F4427B">
              <w:rPr>
                <w:sz w:val="20"/>
                <w:szCs w:val="20"/>
                <w:lang w:val="sk-SK"/>
              </w:rPr>
              <w:t>zvýšenie povedomia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, </w:t>
            </w:r>
            <w:r w:rsidRPr="00F4427B">
              <w:rPr>
                <w:sz w:val="20"/>
                <w:szCs w:val="20"/>
                <w:lang w:val="sk-SK"/>
              </w:rPr>
              <w:t>prepojenie prirodzených habitatov, čo má veľký význam</w:t>
            </w:r>
          </w:p>
          <w:p w:rsidR="00F30121" w:rsidRPr="00F4427B" w:rsidRDefault="00E850E4" w:rsidP="00B0248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 xml:space="preserve">Podľa usmerňovacích zásad, ak je dôležité napr. zvyšovanie povedomia, budovanie kapacít a prenos znalostí, mali by byť zdôraznené ako usmerňovacie zásady pre výber. Podobne ak má Program za cieľ celý cyklus zvládania katastrof a mal by pokrývať </w:t>
            </w:r>
            <w:r w:rsidR="00B0248E" w:rsidRPr="00F4427B">
              <w:rPr>
                <w:sz w:val="20"/>
                <w:szCs w:val="20"/>
                <w:lang w:val="sk-SK"/>
              </w:rPr>
              <w:t>jednoduché riziko aj viacnásobné riziká, aj tieto aspekty by mali byť zahrnuté do usmerňovacích zásad.</w:t>
            </w:r>
          </w:p>
        </w:tc>
        <w:tc>
          <w:tcPr>
            <w:tcW w:w="2976" w:type="dxa"/>
          </w:tcPr>
          <w:p w:rsidR="00E416ED" w:rsidRPr="00F4427B" w:rsidRDefault="00F70D2F" w:rsidP="00C96E71">
            <w:pPr>
              <w:rPr>
                <w:ins w:id="20" w:author="resch" w:date="2014-10-03T13:37:00Z"/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Pozri vyššie</w:t>
            </w:r>
          </w:p>
          <w:p w:rsidR="00F30121" w:rsidRPr="00F4427B" w:rsidRDefault="00F70D2F" w:rsidP="00F70D2F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pozri hore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1D1CB9" w:rsidP="001D1CB9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Vo všeobecnosti</w:t>
            </w:r>
          </w:p>
        </w:tc>
        <w:tc>
          <w:tcPr>
            <w:tcW w:w="4678" w:type="dxa"/>
          </w:tcPr>
          <w:p w:rsidR="00F30121" w:rsidRPr="00F4427B" w:rsidRDefault="00B0248E" w:rsidP="00B523D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Ukazovatele výsledkov konkrétnych programov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B0248E" w:rsidP="00B523DD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nepresné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, </w:t>
            </w:r>
            <w:r w:rsidRPr="00F4427B">
              <w:rPr>
                <w:sz w:val="20"/>
                <w:szCs w:val="20"/>
                <w:lang w:val="sk-SK"/>
              </w:rPr>
              <w:t>neodrážajú priamo typy opatrení</w:t>
            </w:r>
          </w:p>
          <w:p w:rsidR="00F30121" w:rsidRPr="00F4427B" w:rsidRDefault="00B0248E" w:rsidP="00B0248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cieľová hodnota tá istá</w:t>
            </w:r>
            <w:r w:rsidR="00F30121" w:rsidRPr="00F4427B">
              <w:rPr>
                <w:sz w:val="20"/>
                <w:szCs w:val="20"/>
                <w:lang w:val="sk-SK"/>
              </w:rPr>
              <w:t>?</w:t>
            </w:r>
            <w:r w:rsidRPr="00F4427B">
              <w:rPr>
                <w:sz w:val="20"/>
                <w:szCs w:val="20"/>
                <w:lang w:val="sk-SK"/>
              </w:rPr>
              <w:t>?</w:t>
            </w:r>
            <w:r w:rsidR="00F30121" w:rsidRPr="00F4427B">
              <w:rPr>
                <w:sz w:val="20"/>
                <w:szCs w:val="20"/>
                <w:lang w:val="sk-SK"/>
              </w:rPr>
              <w:t>?</w:t>
            </w:r>
          </w:p>
        </w:tc>
        <w:tc>
          <w:tcPr>
            <w:tcW w:w="2976" w:type="dxa"/>
          </w:tcPr>
          <w:p w:rsidR="00B0248E" w:rsidRPr="00F4427B" w:rsidRDefault="00DC2FD7" w:rsidP="00B523D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Plne akceptované</w:t>
            </w:r>
            <w:ins w:id="21" w:author="resch" w:date="2014-10-03T13:38:00Z">
              <w:r w:rsidR="00E416ED" w:rsidRPr="00F4427B">
                <w:rPr>
                  <w:sz w:val="20"/>
                  <w:szCs w:val="20"/>
                  <w:lang w:val="sk-SK"/>
                </w:rPr>
                <w:t xml:space="preserve">; </w:t>
              </w:r>
              <w:r w:rsidR="00E416ED" w:rsidRPr="00F4427B">
                <w:rPr>
                  <w:color w:val="FF0000"/>
                  <w:sz w:val="20"/>
                  <w:szCs w:val="20"/>
                  <w:u w:val="single"/>
                  <w:lang w:val="sk-SK"/>
                </w:rPr>
                <w:t>defin</w:t>
              </w:r>
            </w:ins>
            <w:r w:rsidR="00B0248E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ícia a stanovenie cieľa bud</w:t>
            </w:r>
            <w:r w:rsidR="003A1AD7">
              <w:rPr>
                <w:color w:val="FF0000"/>
                <w:sz w:val="20"/>
                <w:szCs w:val="20"/>
                <w:u w:val="single"/>
                <w:lang w:val="sk-SK"/>
              </w:rPr>
              <w:t>ú</w:t>
            </w:r>
            <w:r w:rsidR="00B0248E"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vysvetlené</w:t>
            </w:r>
          </w:p>
          <w:p w:rsidR="00C459BD" w:rsidRPr="00F4427B" w:rsidRDefault="00B0248E" w:rsidP="003A1AD7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Zostavovatelia vysvetlili ideu, ktorá stojí za termínmi a číslami. Hodnotitelia ex-ante vysvetlenie akceptujú.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F30121" w:rsidP="00B523DD">
            <w:pPr>
              <w:rPr>
                <w:b/>
                <w:sz w:val="20"/>
                <w:szCs w:val="20"/>
                <w:lang w:val="sk-SK"/>
              </w:rPr>
            </w:pPr>
          </w:p>
        </w:tc>
        <w:tc>
          <w:tcPr>
            <w:tcW w:w="4678" w:type="dxa"/>
          </w:tcPr>
          <w:p w:rsidR="00F30121" w:rsidRPr="00F4427B" w:rsidRDefault="00B0248E" w:rsidP="00B523DD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Výkonnostný rámec</w:t>
            </w:r>
            <w:r w:rsidR="00F30121" w:rsidRPr="00F4427B">
              <w:rPr>
                <w:sz w:val="20"/>
                <w:szCs w:val="20"/>
                <w:lang w:val="sk-SK"/>
              </w:rPr>
              <w:t>:</w:t>
            </w:r>
          </w:p>
          <w:p w:rsidR="00F30121" w:rsidRPr="00F4427B" w:rsidRDefault="00F30121" w:rsidP="00B523DD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finan</w:t>
            </w:r>
            <w:r w:rsidR="00B0248E" w:rsidRPr="00F4427B">
              <w:rPr>
                <w:sz w:val="20"/>
                <w:szCs w:val="20"/>
                <w:lang w:val="sk-SK"/>
              </w:rPr>
              <w:t>čný ukazovateľ</w:t>
            </w:r>
            <w:r w:rsidRPr="00F4427B">
              <w:rPr>
                <w:sz w:val="20"/>
                <w:szCs w:val="20"/>
                <w:lang w:val="sk-SK"/>
              </w:rPr>
              <w:t xml:space="preserve">: </w:t>
            </w:r>
            <w:r w:rsidR="00B0248E" w:rsidRPr="00F4427B">
              <w:rPr>
                <w:sz w:val="20"/>
                <w:szCs w:val="20"/>
                <w:lang w:val="sk-SK"/>
              </w:rPr>
              <w:t>mal by byť definovaný v EUR; to isté pre každú IP</w:t>
            </w:r>
            <w:r w:rsidRPr="00F4427B">
              <w:rPr>
                <w:sz w:val="20"/>
                <w:szCs w:val="20"/>
                <w:lang w:val="sk-SK"/>
              </w:rPr>
              <w:t>??? metod</w:t>
            </w:r>
            <w:r w:rsidR="00B0248E" w:rsidRPr="00F4427B">
              <w:rPr>
                <w:sz w:val="20"/>
                <w:szCs w:val="20"/>
                <w:lang w:val="sk-SK"/>
              </w:rPr>
              <w:t>ika</w:t>
            </w:r>
            <w:r w:rsidRPr="00F4427B">
              <w:rPr>
                <w:sz w:val="20"/>
                <w:szCs w:val="20"/>
                <w:lang w:val="sk-SK"/>
              </w:rPr>
              <w:t>?</w:t>
            </w:r>
          </w:p>
          <w:p w:rsidR="00F30121" w:rsidRPr="00F4427B" w:rsidRDefault="00B0248E" w:rsidP="00B523DD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kľúčový vykonávací krok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: </w:t>
            </w:r>
            <w:r w:rsidRPr="00F4427B">
              <w:rPr>
                <w:sz w:val="20"/>
                <w:szCs w:val="20"/>
                <w:lang w:val="sk-SK"/>
              </w:rPr>
              <w:t>mal by byť prepojený s ktorýmkoľvek z ukazovateľov výstupov</w:t>
            </w:r>
          </w:p>
          <w:p w:rsidR="00F30121" w:rsidRPr="00F4427B" w:rsidRDefault="00B0248E" w:rsidP="00B0248E">
            <w:pPr>
              <w:pStyle w:val="Odstavecseseznamem"/>
              <w:numPr>
                <w:ilvl w:val="0"/>
                <w:numId w:val="2"/>
              </w:num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ukazovateľ výstupov</w:t>
            </w:r>
            <w:r w:rsidR="00F30121" w:rsidRPr="00F4427B">
              <w:rPr>
                <w:sz w:val="20"/>
                <w:szCs w:val="20"/>
                <w:lang w:val="sk-SK"/>
              </w:rPr>
              <w:t xml:space="preserve">: </w:t>
            </w:r>
            <w:r w:rsidRPr="00F4427B">
              <w:rPr>
                <w:sz w:val="20"/>
                <w:szCs w:val="20"/>
                <w:lang w:val="sk-SK"/>
              </w:rPr>
              <w:t>ten istý</w:t>
            </w:r>
            <w:r w:rsidR="00F30121" w:rsidRPr="00F4427B">
              <w:rPr>
                <w:sz w:val="20"/>
                <w:szCs w:val="20"/>
                <w:lang w:val="sk-SK"/>
              </w:rPr>
              <w:t>???</w:t>
            </w:r>
          </w:p>
        </w:tc>
        <w:tc>
          <w:tcPr>
            <w:tcW w:w="2976" w:type="dxa"/>
          </w:tcPr>
          <w:p w:rsidR="00E416ED" w:rsidRPr="00F4427B" w:rsidRDefault="00DC2FD7" w:rsidP="00B523DD">
            <w:pPr>
              <w:rPr>
                <w:ins w:id="22" w:author="resch" w:date="2014-10-04T14:06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Čiastočne akceptované</w:t>
            </w:r>
          </w:p>
          <w:p w:rsidR="00B0248E" w:rsidRPr="00F4427B" w:rsidRDefault="00B0248E" w:rsidP="00B523DD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>Vo výkonnostnom rámci možno použiť štyri kategórie ukazovateľov: finančné ukazovatele, ukazovatele výstupov a ukazovatele výsledkov a kľúčové vykonávacie kroky. Nie je potrebné prepojiť ukazovatele výsledkov a kľúčové vykonávacie kroky, pretože kľúčové vykonávacie kroky sú jediným typom ukazovateľa, ktorý je vytvorený len na účely výkonnostného rámca.</w:t>
            </w:r>
          </w:p>
          <w:p w:rsidR="00907A1D" w:rsidRPr="00F4427B" w:rsidRDefault="00B0248E" w:rsidP="003F02F3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t>V poslednom stĺpci bude pridané vysvetlenie o metodike (napr. 2 milióny EUR</w:t>
            </w:r>
            <w:r w:rsidR="003F02F3" w:rsidRPr="00F4427B">
              <w:rPr>
                <w:sz w:val="20"/>
                <w:szCs w:val="20"/>
                <w:lang w:val="sk-SK"/>
              </w:rPr>
              <w:t xml:space="preserve"> ako priemerný odhadovaný rozpočet projektu; 2 riešenia na každý projekt atď.)</w:t>
            </w:r>
          </w:p>
        </w:tc>
      </w:tr>
      <w:tr w:rsidR="00FD1834" w:rsidRPr="00F4427B" w:rsidTr="000F38B6">
        <w:tc>
          <w:tcPr>
            <w:tcW w:w="1526" w:type="dxa"/>
          </w:tcPr>
          <w:p w:rsidR="00F30121" w:rsidRPr="00F4427B" w:rsidRDefault="001D1CB9" w:rsidP="001D1CB9">
            <w:pPr>
              <w:rPr>
                <w:b/>
                <w:sz w:val="20"/>
                <w:szCs w:val="20"/>
                <w:lang w:val="sk-SK"/>
              </w:rPr>
            </w:pPr>
            <w:r w:rsidRPr="00F4427B">
              <w:rPr>
                <w:b/>
                <w:sz w:val="20"/>
                <w:szCs w:val="20"/>
                <w:lang w:val="sk-SK"/>
              </w:rPr>
              <w:t>Horizontá</w:t>
            </w:r>
            <w:r w:rsidR="00F30121" w:rsidRPr="00F4427B">
              <w:rPr>
                <w:b/>
                <w:sz w:val="20"/>
                <w:szCs w:val="20"/>
                <w:lang w:val="sk-SK"/>
              </w:rPr>
              <w:t>l</w:t>
            </w:r>
            <w:r w:rsidRPr="00F4427B">
              <w:rPr>
                <w:b/>
                <w:sz w:val="20"/>
                <w:szCs w:val="20"/>
                <w:lang w:val="sk-SK"/>
              </w:rPr>
              <w:t xml:space="preserve">ne </w:t>
            </w:r>
            <w:r w:rsidRPr="00F4427B">
              <w:rPr>
                <w:b/>
                <w:sz w:val="20"/>
                <w:szCs w:val="20"/>
                <w:lang w:val="sk-SK"/>
              </w:rPr>
              <w:lastRenderedPageBreak/>
              <w:t>témy</w:t>
            </w:r>
          </w:p>
        </w:tc>
        <w:tc>
          <w:tcPr>
            <w:tcW w:w="4678" w:type="dxa"/>
          </w:tcPr>
          <w:p w:rsidR="00453279" w:rsidRPr="00F4427B" w:rsidRDefault="001D1CB9" w:rsidP="007A5C5C">
            <w:pPr>
              <w:rPr>
                <w:ins w:id="23" w:author="resch" w:date="2014-10-04T14:56:00Z"/>
                <w:sz w:val="20"/>
                <w:szCs w:val="20"/>
                <w:lang w:val="sk-SK"/>
              </w:rPr>
            </w:pPr>
            <w:r w:rsidRPr="00F4427B">
              <w:rPr>
                <w:sz w:val="20"/>
                <w:szCs w:val="20"/>
                <w:lang w:val="sk-SK"/>
              </w:rPr>
              <w:lastRenderedPageBreak/>
              <w:t>Boli vykonané len drobné vylepšenia</w:t>
            </w:r>
            <w:r w:rsidR="00F30121" w:rsidRPr="00F4427B">
              <w:rPr>
                <w:sz w:val="20"/>
                <w:szCs w:val="20"/>
                <w:lang w:val="sk-SK"/>
              </w:rPr>
              <w:t>.</w:t>
            </w:r>
          </w:p>
          <w:p w:rsidR="00453279" w:rsidRPr="00F4427B" w:rsidRDefault="00453279" w:rsidP="007A5C5C">
            <w:pPr>
              <w:rPr>
                <w:sz w:val="20"/>
                <w:szCs w:val="20"/>
                <w:lang w:val="sk-SK"/>
              </w:rPr>
            </w:pPr>
          </w:p>
        </w:tc>
        <w:tc>
          <w:tcPr>
            <w:tcW w:w="2976" w:type="dxa"/>
          </w:tcPr>
          <w:p w:rsidR="00453279" w:rsidRPr="00F4427B" w:rsidRDefault="00DC2FD7" w:rsidP="00103664">
            <w:pPr>
              <w:rPr>
                <w:ins w:id="24" w:author="resch" w:date="2014-10-04T14:53:00Z"/>
                <w:sz w:val="20"/>
                <w:szCs w:val="20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lastRenderedPageBreak/>
              <w:t>Čiastočne akceptované</w:t>
            </w:r>
          </w:p>
          <w:p w:rsidR="001D1CB9" w:rsidRPr="00F4427B" w:rsidRDefault="001D1CB9" w:rsidP="00103664">
            <w:pPr>
              <w:rPr>
                <w:color w:val="FF0000"/>
                <w:sz w:val="20"/>
                <w:szCs w:val="20"/>
                <w:u w:val="single"/>
                <w:lang w:val="sk-SK"/>
              </w:rPr>
            </w:pP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lastRenderedPageBreak/>
              <w:t xml:space="preserve">Bol prijatý postupný prístup na opis všeobecných tém na implementáciu </w:t>
            </w:r>
            <w:r w:rsidR="003A1AD7" w:rsidRPr="00F4427B">
              <w:rPr>
                <w:color w:val="FF0000"/>
                <w:sz w:val="20"/>
                <w:szCs w:val="20"/>
                <w:u w:val="single"/>
                <w:lang w:val="sk-SK"/>
              </w:rPr>
              <w:t>horizontálnych</w:t>
            </w:r>
            <w:r w:rsidRPr="00F4427B">
              <w:rPr>
                <w:color w:val="FF0000"/>
                <w:sz w:val="20"/>
                <w:szCs w:val="20"/>
                <w:u w:val="single"/>
                <w:lang w:val="sk-SK"/>
              </w:rPr>
              <w:t xml:space="preserve"> princípov v rámci programového cyklu vo všetkých fázach od výberu projektu po hodnotenie projektu. Podrobné ustanovenia uvedie Programová príručka v Balíkoch pre žiadosti špecifických pre jednotlivé výzvy.</w:t>
            </w:r>
          </w:p>
          <w:p w:rsidR="00907A1D" w:rsidRPr="00F4427B" w:rsidRDefault="001D1CB9" w:rsidP="001D1CB9">
            <w:pPr>
              <w:rPr>
                <w:sz w:val="20"/>
                <w:szCs w:val="20"/>
                <w:lang w:val="sk-SK"/>
              </w:rPr>
            </w:pPr>
            <w:r w:rsidRPr="00F4427B">
              <w:rPr>
                <w:lang w:val="sk-SK"/>
              </w:rPr>
              <w:t>Hodnotitelia ex-ante odporúčajú vložiť do textu, že Program zamýšľa prispieť aj k horizontálnym témam na úrovni Programu a tieto úsilia budú neskôr rozpracované v rámci metód implementácie.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9C0D38" w:rsidP="0072086D">
            <w:pPr>
              <w:rPr>
                <w:b/>
                <w:lang w:val="sk-SK"/>
              </w:rPr>
            </w:pPr>
          </w:p>
        </w:tc>
        <w:tc>
          <w:tcPr>
            <w:tcW w:w="4678" w:type="dxa"/>
          </w:tcPr>
          <w:p w:rsidR="009C0D38" w:rsidRPr="00F4427B" w:rsidRDefault="00B0248E" w:rsidP="00B0248E">
            <w:pPr>
              <w:rPr>
                <w:b/>
                <w:lang w:val="sk-SK"/>
              </w:rPr>
            </w:pPr>
            <w:r w:rsidRPr="00F4427B">
              <w:rPr>
                <w:b/>
                <w:lang w:val="sk-SK"/>
              </w:rPr>
              <w:t>Odporúčanie/zistenie</w:t>
            </w:r>
          </w:p>
        </w:tc>
        <w:tc>
          <w:tcPr>
            <w:tcW w:w="2976" w:type="dxa"/>
          </w:tcPr>
          <w:p w:rsidR="009C0D38" w:rsidRPr="00F4427B" w:rsidRDefault="00B0248E" w:rsidP="00B0248E">
            <w:pPr>
              <w:rPr>
                <w:b/>
                <w:lang w:val="sk-SK"/>
              </w:rPr>
            </w:pPr>
            <w:r w:rsidRPr="00F4427B">
              <w:rPr>
                <w:b/>
                <w:lang w:val="sk-SK"/>
              </w:rPr>
              <w:t>Rozhodnutie</w:t>
            </w:r>
          </w:p>
        </w:tc>
      </w:tr>
      <w:tr w:rsidR="00F30121" w:rsidRPr="00F4427B" w:rsidTr="000F38B6">
        <w:tc>
          <w:tcPr>
            <w:tcW w:w="9180" w:type="dxa"/>
            <w:gridSpan w:val="3"/>
          </w:tcPr>
          <w:p w:rsidR="00F30121" w:rsidRPr="00F4427B" w:rsidRDefault="00F30121" w:rsidP="00B0248E">
            <w:pPr>
              <w:rPr>
                <w:lang w:val="sk-SK"/>
              </w:rPr>
            </w:pPr>
            <w:r w:rsidRPr="00F4427B">
              <w:rPr>
                <w:lang w:val="sk-SK"/>
              </w:rPr>
              <w:t>Priorit</w:t>
            </w:r>
            <w:r w:rsidR="00B0248E" w:rsidRPr="00F4427B">
              <w:rPr>
                <w:lang w:val="sk-SK"/>
              </w:rPr>
              <w:t>ná os</w:t>
            </w:r>
            <w:r w:rsidRPr="00F4427B">
              <w:rPr>
                <w:lang w:val="sk-SK"/>
              </w:rPr>
              <w:t xml:space="preserve"> 3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4678" w:type="dxa"/>
          </w:tcPr>
          <w:p w:rsidR="005334DB" w:rsidRPr="00F4427B" w:rsidRDefault="005334DB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Výzva nie je konzistentne premietnutá do IP (prvé tri) (str. 37 Hodnotenie)</w:t>
            </w:r>
          </w:p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2976" w:type="dxa"/>
          </w:tcPr>
          <w:p w:rsidR="006E7AE6" w:rsidRPr="00F4427B" w:rsidRDefault="00DC2FD7" w:rsidP="006E7AE6">
            <w:pPr>
              <w:rPr>
                <w:ins w:id="25" w:author="resch" w:date="2014-10-05T22:17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  <w:ins w:id="26" w:author="resch" w:date="2014-10-05T22:17:00Z">
              <w:r w:rsidR="006E7AE6" w:rsidRPr="00F4427B">
                <w:rPr>
                  <w:lang w:val="sk-SK"/>
                </w:rPr>
                <w:t xml:space="preserve">; </w:t>
              </w:r>
            </w:ins>
          </w:p>
          <w:p w:rsidR="009C0D38" w:rsidRPr="00F4427B" w:rsidRDefault="005334DB" w:rsidP="003A1AD7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</w:t>
            </w:r>
            <w:r w:rsidR="002C5BAE" w:rsidRPr="00F4427B">
              <w:rPr>
                <w:lang w:val="sk-SK"/>
              </w:rPr>
              <w:t>: “</w:t>
            </w:r>
            <w:r w:rsidR="003A1AD7">
              <w:rPr>
                <w:lang w:val="sk-SK"/>
              </w:rPr>
              <w:t>Dôraz sa kladie na slovo “systé</w:t>
            </w:r>
            <w:r w:rsidR="0006078B" w:rsidRPr="00F4427B">
              <w:rPr>
                <w:lang w:val="sk-SK"/>
              </w:rPr>
              <w:t>m” v názve IP, preto by mohla zahŕňať a</w:t>
            </w:r>
            <w:r w:rsidR="003A1AD7">
              <w:rPr>
                <w:lang w:val="sk-SK"/>
              </w:rPr>
              <w:t>k</w:t>
            </w:r>
            <w:r w:rsidR="0006078B" w:rsidRPr="00F4427B">
              <w:rPr>
                <w:lang w:val="sk-SK"/>
              </w:rPr>
              <w:t>tivity ako lepšie prepojenie na sieť TEN-T. Súhlasí sa s tým, že sa do PS pridá úvaha o “implementácii” týchto opatrení “šetrnej k životnému prostrediu” (napr. na str. 77 PS)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4678" w:type="dxa"/>
          </w:tcPr>
          <w:p w:rsidR="00532DA4" w:rsidRPr="00F4427B" w:rsidRDefault="00532DA4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 xml:space="preserve">Nie je jasné, ako zostavovatelia PS plánujú dosiahnuť niektoré z orientačných príkladov opatrení, napr. “vybudovať komplexný, vzájomne prepojený dopravný </w:t>
            </w:r>
            <w:r w:rsidR="003A1AD7" w:rsidRPr="00F4427B">
              <w:rPr>
                <w:lang w:val="sk-SK"/>
              </w:rPr>
              <w:t>systém</w:t>
            </w:r>
            <w:r w:rsidRPr="00F4427B">
              <w:rPr>
                <w:lang w:val="sk-SK"/>
              </w:rPr>
              <w:t>” – Bude finančná podpora na stavbu trás? (str. 40)</w:t>
            </w:r>
          </w:p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2976" w:type="dxa"/>
          </w:tcPr>
          <w:p w:rsidR="0068050D" w:rsidRPr="00F4427B" w:rsidRDefault="00DC2FD7" w:rsidP="00182730">
            <w:pPr>
              <w:rPr>
                <w:ins w:id="27" w:author="resch" w:date="2014-10-04T15:10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  <w:ins w:id="28" w:author="resch" w:date="2014-10-04T15:09:00Z">
              <w:r w:rsidR="0068050D" w:rsidRPr="00F4427B">
                <w:rPr>
                  <w:lang w:val="sk-SK"/>
                </w:rPr>
                <w:t xml:space="preserve">; </w:t>
              </w:r>
            </w:ins>
          </w:p>
          <w:p w:rsidR="00BB31AB" w:rsidRPr="00F4427B" w:rsidRDefault="00BB31AB" w:rsidP="00182730">
            <w:pPr>
              <w:rPr>
                <w:color w:val="FF0000"/>
                <w:u w:val="single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Fyzické stavebné práce sú vo všeobecnosti mimo rozsahu programu spolupráce. V konkrétnych prípadoch možno zvážiť drobné investície do fixného kapitálu testovacej alebo demonštračnej povahy.</w:t>
            </w:r>
          </w:p>
          <w:p w:rsidR="009C0D38" w:rsidRPr="00F4427B" w:rsidRDefault="00F5266D" w:rsidP="00BB31AB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 súhlasili</w:t>
            </w:r>
            <w:r w:rsidR="00BB31AB" w:rsidRPr="00F4427B">
              <w:rPr>
                <w:lang w:val="sk-SK"/>
              </w:rPr>
              <w:t xml:space="preserve">, že niekde v PS explicitne uvedú, že sa v rámci </w:t>
            </w:r>
            <w:r w:rsidR="00BB31AB" w:rsidRPr="00F4427B">
              <w:rPr>
                <w:color w:val="FF0000"/>
                <w:u w:val="single"/>
                <w:lang w:val="sk-SK"/>
              </w:rPr>
              <w:t>programu</w:t>
            </w:r>
            <w:r w:rsidR="00BB31AB" w:rsidRPr="00F4427B">
              <w:rPr>
                <w:lang w:val="sk-SK"/>
              </w:rPr>
              <w:t xml:space="preserve"> Dunaj nepodporujú žiadne stavby ciest alebo iné väčšie stavby. Asi na strane 37.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4678" w:type="dxa"/>
          </w:tcPr>
          <w:p w:rsidR="00BB31AB" w:rsidRPr="00F4427B" w:rsidRDefault="00BB31AB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Identifikovaná zásada je relevantná, ale mala by byť pridaná aspoň ešte jedna usmerňovacia zásada na výber operácie:</w:t>
            </w:r>
          </w:p>
          <w:p w:rsidR="00BB31AB" w:rsidRPr="00F4427B" w:rsidRDefault="00BB31AB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Finančný plán by mal predstaviť spôsob využitia vytvorených (prípadných) výnosov (str. 41)</w:t>
            </w:r>
          </w:p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2976" w:type="dxa"/>
          </w:tcPr>
          <w:p w:rsidR="00BF44E6" w:rsidRPr="00F4427B" w:rsidRDefault="00DC2FD7" w:rsidP="0072086D">
            <w:pPr>
              <w:rPr>
                <w:ins w:id="29" w:author="resch" w:date="2014-10-04T15:10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2E4381" w:rsidRPr="00F4427B" w:rsidRDefault="002E4381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</w:t>
            </w:r>
            <w:r w:rsidR="00C2739B" w:rsidRPr="00F4427B">
              <w:rPr>
                <w:lang w:val="sk-SK"/>
              </w:rPr>
              <w:t>:</w:t>
            </w:r>
            <w:r w:rsidR="009C0D38" w:rsidRPr="00F4427B">
              <w:rPr>
                <w:lang w:val="sk-SK"/>
              </w:rPr>
              <w:t xml:space="preserve"> </w:t>
            </w:r>
            <w:r w:rsidRPr="00F4427B">
              <w:rPr>
                <w:lang w:val="sk-SK"/>
              </w:rPr>
              <w:t>Niet opatrení, ktoré by mohli vytvárať výnosy, preto nie je potrebné zahrnúť túto zásadu.</w:t>
            </w:r>
          </w:p>
          <w:p w:rsidR="00C2739B" w:rsidRPr="00F4427B" w:rsidRDefault="002E4381" w:rsidP="002E4381">
            <w:pPr>
              <w:rPr>
                <w:lang w:val="sk-SK"/>
              </w:rPr>
            </w:pPr>
            <w:r w:rsidRPr="00F4427B">
              <w:rPr>
                <w:lang w:val="sk-SK"/>
              </w:rPr>
              <w:t xml:space="preserve">Hodnotitelia ex-ante </w:t>
            </w:r>
            <w:r w:rsidRPr="00F4427B">
              <w:rPr>
                <w:lang w:val="sk-SK"/>
              </w:rPr>
              <w:lastRenderedPageBreak/>
              <w:t>vysvetlenie prijímajú.</w:t>
            </w:r>
          </w:p>
        </w:tc>
      </w:tr>
      <w:tr w:rsidR="00F30121" w:rsidRPr="00F4427B" w:rsidTr="000F38B6">
        <w:tc>
          <w:tcPr>
            <w:tcW w:w="9180" w:type="dxa"/>
            <w:gridSpan w:val="3"/>
          </w:tcPr>
          <w:p w:rsidR="00F30121" w:rsidRPr="00F4427B" w:rsidRDefault="00F30121" w:rsidP="002E4381">
            <w:pPr>
              <w:rPr>
                <w:lang w:val="sk-SK"/>
              </w:rPr>
            </w:pPr>
            <w:r w:rsidRPr="00F4427B">
              <w:rPr>
                <w:lang w:val="sk-SK"/>
              </w:rPr>
              <w:lastRenderedPageBreak/>
              <w:t>Priorit</w:t>
            </w:r>
            <w:r w:rsidR="002E4381" w:rsidRPr="00F4427B">
              <w:rPr>
                <w:lang w:val="sk-SK"/>
              </w:rPr>
              <w:t>ná os</w:t>
            </w:r>
            <w:r w:rsidRPr="00F4427B">
              <w:rPr>
                <w:lang w:val="sk-SK"/>
              </w:rPr>
              <w:t xml:space="preserve"> 4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2E4381" w:rsidP="002E4381">
            <w:pPr>
              <w:rPr>
                <w:lang w:val="sk-SK"/>
              </w:rPr>
            </w:pPr>
            <w:r w:rsidRPr="00F4427B">
              <w:rPr>
                <w:lang w:val="sk-SK"/>
              </w:rPr>
              <w:t>výzvy</w:t>
            </w:r>
            <w:r w:rsidR="009C0D38" w:rsidRPr="00F4427B">
              <w:rPr>
                <w:lang w:val="sk-SK"/>
              </w:rPr>
              <w:t xml:space="preserve"> &amp; </w:t>
            </w:r>
            <w:r w:rsidRPr="00F4427B">
              <w:rPr>
                <w:lang w:val="sk-SK"/>
              </w:rPr>
              <w:t>potreby</w:t>
            </w:r>
          </w:p>
        </w:tc>
        <w:tc>
          <w:tcPr>
            <w:tcW w:w="4678" w:type="dxa"/>
          </w:tcPr>
          <w:p w:rsidR="002E4381" w:rsidRPr="00F4427B" w:rsidRDefault="009C0D38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“</w:t>
            </w:r>
            <w:r w:rsidR="002E4381" w:rsidRPr="00F4427B">
              <w:rPr>
                <w:lang w:val="sk-SK"/>
              </w:rPr>
              <w:t>Využitie prostriedkov EFRR</w:t>
            </w:r>
            <w:r w:rsidRPr="00F4427B">
              <w:rPr>
                <w:lang w:val="sk-SK"/>
              </w:rPr>
              <w:t xml:space="preserve"> a</w:t>
            </w:r>
            <w:r w:rsidR="002E4381" w:rsidRPr="00F4427B">
              <w:rPr>
                <w:lang w:val="sk-SK"/>
              </w:rPr>
              <w:t xml:space="preserve">ko zdroja </w:t>
            </w:r>
            <w:r w:rsidR="003A1AD7">
              <w:rPr>
                <w:lang w:val="sk-SK"/>
              </w:rPr>
              <w:t>i</w:t>
            </w:r>
            <w:r w:rsidR="002E4381" w:rsidRPr="00F4427B">
              <w:rPr>
                <w:lang w:val="sk-SK"/>
              </w:rPr>
              <w:t>nvestíci</w:t>
            </w:r>
            <w:r w:rsidR="003A1AD7">
              <w:rPr>
                <w:lang w:val="sk-SK"/>
              </w:rPr>
              <w:t>í</w:t>
            </w:r>
            <w:r w:rsidR="002E4381" w:rsidRPr="00F4427B">
              <w:rPr>
                <w:lang w:val="sk-SK"/>
              </w:rPr>
              <w:t xml:space="preserve"> je </w:t>
            </w:r>
            <w:r w:rsidR="003A1AD7">
              <w:rPr>
                <w:lang w:val="sk-SK"/>
              </w:rPr>
              <w:t>pomerne</w:t>
            </w:r>
            <w:r w:rsidR="002E4381" w:rsidRPr="00F4427B">
              <w:rPr>
                <w:lang w:val="sk-SK"/>
              </w:rPr>
              <w:t xml:space="preserve"> </w:t>
            </w:r>
            <w:r w:rsidR="003A1AD7">
              <w:rPr>
                <w:lang w:val="sk-SK"/>
              </w:rPr>
              <w:t>slabé</w:t>
            </w:r>
            <w:r w:rsidR="002E4381" w:rsidRPr="00F4427B">
              <w:rPr>
                <w:lang w:val="sk-SK"/>
              </w:rPr>
              <w:t xml:space="preserve"> z dôvodu obmedzenej kapacity národných systémov, </w:t>
            </w:r>
            <w:r w:rsidR="003A1AD7">
              <w:rPr>
                <w:lang w:val="sk-SK"/>
              </w:rPr>
              <w:t>ktorú</w:t>
            </w:r>
            <w:r w:rsidR="002E4381" w:rsidRPr="00F4427B">
              <w:rPr>
                <w:lang w:val="sk-SK"/>
              </w:rPr>
              <w:t xml:space="preserve"> možno zlepšiť nadnárodným prenosom skúseností”</w:t>
            </w:r>
          </w:p>
          <w:p w:rsidR="009C0D38" w:rsidRPr="00F4427B" w:rsidRDefault="002E4381" w:rsidP="002E4381">
            <w:pPr>
              <w:rPr>
                <w:lang w:val="sk-SK"/>
              </w:rPr>
            </w:pPr>
            <w:r w:rsidRPr="00F4427B">
              <w:rPr>
                <w:b/>
                <w:lang w:val="sk-SK"/>
              </w:rPr>
              <w:t>Odporúčanie</w:t>
            </w:r>
            <w:r w:rsidR="009C0D38" w:rsidRPr="00F4427B">
              <w:rPr>
                <w:b/>
                <w:lang w:val="sk-SK"/>
              </w:rPr>
              <w:t>:</w:t>
            </w:r>
            <w:r w:rsidR="009C0D38" w:rsidRPr="00F4427B">
              <w:rPr>
                <w:lang w:val="sk-SK"/>
              </w:rPr>
              <w:t xml:space="preserve"> </w:t>
            </w:r>
            <w:r w:rsidRPr="00F4427B">
              <w:rPr>
                <w:lang w:val="sk-SK"/>
              </w:rPr>
              <w:t>Táto výzva je dôležitá, ale mali by byť pridané dôkazy na objektívnejšie zdôvodnenie (napr. údaje o využití prostriedkov EFRR z rôznych štátov).</w:t>
            </w:r>
          </w:p>
        </w:tc>
        <w:tc>
          <w:tcPr>
            <w:tcW w:w="2976" w:type="dxa"/>
          </w:tcPr>
          <w:p w:rsidR="00BF44E6" w:rsidRPr="00F4427B" w:rsidRDefault="00DC2FD7" w:rsidP="00A649F2">
            <w:pPr>
              <w:rPr>
                <w:ins w:id="30" w:author="resch" w:date="2014-10-04T15:10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A649F2" w:rsidRPr="00F4427B" w:rsidRDefault="00F5266D" w:rsidP="00A649F2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 súhlasili</w:t>
            </w:r>
            <w:r w:rsidR="002E4381" w:rsidRPr="00F4427B">
              <w:rPr>
                <w:lang w:val="sk-SK"/>
              </w:rPr>
              <w:t>, že pridajú príslušné zmienky.</w:t>
            </w:r>
          </w:p>
          <w:p w:rsidR="009C0D38" w:rsidRPr="00F4427B" w:rsidRDefault="009C0D38" w:rsidP="0072086D">
            <w:pPr>
              <w:rPr>
                <w:lang w:val="sk-SK"/>
              </w:rPr>
            </w:pPr>
          </w:p>
        </w:tc>
      </w:tr>
      <w:tr w:rsidR="00FD1834" w:rsidRPr="00F4427B" w:rsidTr="000F38B6">
        <w:tc>
          <w:tcPr>
            <w:tcW w:w="1526" w:type="dxa"/>
          </w:tcPr>
          <w:p w:rsidR="002E4381" w:rsidRPr="00F4427B" w:rsidRDefault="002E4381" w:rsidP="0072086D">
            <w:pPr>
              <w:rPr>
                <w:lang w:val="sk-SK"/>
              </w:rPr>
            </w:pPr>
            <w:r w:rsidRPr="00F4427B">
              <w:rPr>
                <w:lang w:val="sk-SK"/>
              </w:rPr>
              <w:t>otázky bezpečnosti (fyzickej a proti protiprávnym činom) a spravodlivosti</w:t>
            </w:r>
          </w:p>
          <w:p w:rsidR="009C0D38" w:rsidRPr="00F4427B" w:rsidRDefault="009C0D38" w:rsidP="0072086D">
            <w:pPr>
              <w:rPr>
                <w:lang w:val="sk-SK"/>
              </w:rPr>
            </w:pPr>
          </w:p>
        </w:tc>
        <w:tc>
          <w:tcPr>
            <w:tcW w:w="4678" w:type="dxa"/>
          </w:tcPr>
          <w:p w:rsidR="002E4381" w:rsidRPr="00F4427B" w:rsidRDefault="002E4381" w:rsidP="0072086D">
            <w:pPr>
              <w:rPr>
                <w:szCs w:val="24"/>
                <w:lang w:val="sk-SK"/>
              </w:rPr>
            </w:pPr>
            <w:r w:rsidRPr="00F4427B">
              <w:rPr>
                <w:szCs w:val="24"/>
                <w:lang w:val="sk-SK"/>
              </w:rPr>
              <w:t>Témy spolupráce v oblasti bezpečnosti (fyzickej a proti protiprávnym činom) a spravodlivosti sa zdajú byť mimo hlavnej pozornosti (sú tiež novo vložené v tejto verzii PS), preto sa odporúča revízia zoznamu oblastí súčinnosti.</w:t>
            </w:r>
          </w:p>
          <w:p w:rsidR="009C0D38" w:rsidRPr="00F4427B" w:rsidRDefault="009C0D38" w:rsidP="0072086D">
            <w:pPr>
              <w:rPr>
                <w:szCs w:val="24"/>
                <w:lang w:val="sk-SK"/>
              </w:rPr>
            </w:pPr>
          </w:p>
        </w:tc>
        <w:tc>
          <w:tcPr>
            <w:tcW w:w="2976" w:type="dxa"/>
          </w:tcPr>
          <w:p w:rsidR="002E4381" w:rsidRPr="00F4427B" w:rsidRDefault="00DC2FD7" w:rsidP="00825607">
            <w:pPr>
              <w:rPr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Čiastočne akceptované</w:t>
            </w:r>
            <w:ins w:id="31" w:author="resch" w:date="2014-10-04T15:12:00Z">
              <w:r w:rsidR="00377F06" w:rsidRPr="00F4427B">
                <w:rPr>
                  <w:lang w:val="sk-SK"/>
                </w:rPr>
                <w:t xml:space="preserve">; </w:t>
              </w:r>
            </w:ins>
          </w:p>
          <w:p w:rsidR="002E4381" w:rsidRPr="00F4427B" w:rsidRDefault="002E4381" w:rsidP="00825607">
            <w:pPr>
              <w:rPr>
                <w:color w:val="FF0000"/>
                <w:u w:val="single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spolupráca v oblasti bezpečnosti a spravodlivosti ostane ako jeden z očakávaných výsledkov (ako voliteľná možnosť), ale bude odstránená ako explicitné opatrenie, ktoré sa má podporiť.</w:t>
            </w:r>
          </w:p>
          <w:p w:rsidR="002E4381" w:rsidRPr="00F4427B" w:rsidRDefault="002E4381" w:rsidP="00825607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Zostavovatelia: Tento spôsob riešenia týchto tém bol rozhodnutím DPV: spomenúť ich medzi výsledkami, ale nie medzi aktivitami.”</w:t>
            </w:r>
          </w:p>
          <w:p w:rsidR="00C44002" w:rsidRPr="00F4427B" w:rsidRDefault="002E4381" w:rsidP="002E4381">
            <w:pPr>
              <w:rPr>
                <w:lang w:val="sk-SK"/>
              </w:rPr>
            </w:pPr>
            <w:r w:rsidRPr="00F4427B">
              <w:rPr>
                <w:lang w:val="sk-SK"/>
              </w:rPr>
              <w:t>Hodnotitelia ex-ante vysvetlenie akceptujú.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2E4381" w:rsidP="002E4381">
            <w:pPr>
              <w:rPr>
                <w:lang w:val="sk-SK"/>
              </w:rPr>
            </w:pPr>
            <w:r w:rsidRPr="00F4427B">
              <w:rPr>
                <w:lang w:val="sk-SK"/>
              </w:rPr>
              <w:t>výsledok</w:t>
            </w:r>
            <w:r w:rsidR="009C0D38" w:rsidRPr="00F4427B">
              <w:rPr>
                <w:lang w:val="sk-SK"/>
              </w:rPr>
              <w:t xml:space="preserve"> 4.1</w:t>
            </w:r>
          </w:p>
        </w:tc>
        <w:tc>
          <w:tcPr>
            <w:tcW w:w="4678" w:type="dxa"/>
          </w:tcPr>
          <w:p w:rsidR="009C0D38" w:rsidRPr="00F4427B" w:rsidRDefault="005234D9" w:rsidP="005234D9">
            <w:pPr>
              <w:rPr>
                <w:szCs w:val="24"/>
                <w:lang w:val="sk-SK"/>
              </w:rPr>
            </w:pPr>
            <w:r w:rsidRPr="00F4427B">
              <w:rPr>
                <w:szCs w:val="24"/>
                <w:lang w:val="sk-SK"/>
              </w:rPr>
              <w:t>Predpokladaný výsledok (“zvýšiť kapacity”) nezachytáva podstatu KC (“zlepšenie inštitucionálnych kapacít”), odporúča sa revízia.</w:t>
            </w:r>
          </w:p>
        </w:tc>
        <w:tc>
          <w:tcPr>
            <w:tcW w:w="2976" w:type="dxa"/>
          </w:tcPr>
          <w:p w:rsidR="004E1FA6" w:rsidRPr="00F4427B" w:rsidRDefault="00DC2FD7" w:rsidP="005511BE">
            <w:pPr>
              <w:rPr>
                <w:ins w:id="32" w:author="resch" w:date="2014-10-04T15:20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9C0D38" w:rsidRPr="00F4427B" w:rsidRDefault="00F5266D" w:rsidP="005234D9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 súhlasili</w:t>
            </w:r>
            <w:r w:rsidR="005234D9" w:rsidRPr="00F4427B">
              <w:rPr>
                <w:lang w:val="sk-SK"/>
              </w:rPr>
              <w:t>, že zmenia formuláciu výsledku na “zlepšiť kapacity”</w:t>
            </w:r>
            <w:r w:rsidR="00393D78" w:rsidRPr="00F4427B">
              <w:rPr>
                <w:lang w:val="sk-SK"/>
              </w:rPr>
              <w:t>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2E4381" w:rsidP="005234D9">
            <w:pPr>
              <w:rPr>
                <w:lang w:val="sk-SK"/>
              </w:rPr>
            </w:pPr>
            <w:r w:rsidRPr="00F4427B">
              <w:rPr>
                <w:lang w:val="sk-SK"/>
              </w:rPr>
              <w:t>K</w:t>
            </w:r>
            <w:r w:rsidR="005234D9" w:rsidRPr="00F4427B">
              <w:rPr>
                <w:lang w:val="sk-SK"/>
              </w:rPr>
              <w:t>PO</w:t>
            </w:r>
          </w:p>
        </w:tc>
        <w:tc>
          <w:tcPr>
            <w:tcW w:w="4678" w:type="dxa"/>
          </w:tcPr>
          <w:p w:rsidR="009C0D38" w:rsidRPr="00F4427B" w:rsidRDefault="005234D9" w:rsidP="00F4427B">
            <w:pPr>
              <w:rPr>
                <w:lang w:val="sk-SK"/>
              </w:rPr>
            </w:pPr>
            <w:r w:rsidRPr="00F4427B">
              <w:rPr>
                <w:rFonts w:ascii="Calibri" w:hAnsi="Calibri"/>
                <w:lang w:val="sk-SK"/>
              </w:rPr>
              <w:t>Súvisiaci ukazovateľ výsledkov (</w:t>
            </w:r>
            <w:r w:rsidR="00F4427B" w:rsidRPr="00F4427B">
              <w:rPr>
                <w:rFonts w:ascii="Calibri" w:hAnsi="Calibri"/>
                <w:i/>
                <w:lang w:val="sk-SK"/>
              </w:rPr>
              <w:t>Podiel Koordinátorov prioritnej oblasti (KPO), ktorí môžu efektívne implementovať zámery, ciele a kľúčové opatrenia (kompozitný ukazovateľ založený na zisťovaní)</w:t>
            </w:r>
            <w:r w:rsidRPr="00F4427B">
              <w:rPr>
                <w:rFonts w:ascii="Calibri" w:hAnsi="Calibri"/>
                <w:lang w:val="sk-SK"/>
              </w:rPr>
              <w:t>) je relevantný pre obsah KC, ale nie je riadne definovaný, malo by byť poskytnuté vysvetlenie termínov “</w:t>
            </w:r>
            <w:r w:rsidRPr="00F4427B">
              <w:rPr>
                <w:rFonts w:ascii="Calibri" w:hAnsi="Calibri"/>
                <w:i/>
                <w:lang w:val="sk-SK"/>
              </w:rPr>
              <w:t>zámery, ciele a kľúčové opatrenia</w:t>
            </w:r>
            <w:r w:rsidRPr="00F4427B">
              <w:rPr>
                <w:rFonts w:ascii="Calibri" w:hAnsi="Calibri"/>
                <w:lang w:val="sk-SK"/>
              </w:rPr>
              <w:t>”</w:t>
            </w:r>
          </w:p>
        </w:tc>
        <w:tc>
          <w:tcPr>
            <w:tcW w:w="2976" w:type="dxa"/>
          </w:tcPr>
          <w:p w:rsidR="00F4427B" w:rsidRPr="00F4427B" w:rsidRDefault="00DC2FD7" w:rsidP="00C44002">
            <w:pPr>
              <w:rPr>
                <w:color w:val="FF0000"/>
                <w:u w:val="single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  <w:ins w:id="33" w:author="resch" w:date="2014-10-04T15:23:00Z">
              <w:r w:rsidR="00421D18" w:rsidRPr="00F4427B">
                <w:rPr>
                  <w:lang w:val="sk-SK"/>
                </w:rPr>
                <w:t xml:space="preserve">; </w:t>
              </w:r>
            </w:ins>
            <w:r w:rsidR="00F4427B" w:rsidRPr="00F4427B">
              <w:rPr>
                <w:color w:val="FF0000"/>
                <w:u w:val="single"/>
                <w:lang w:val="sk-SK"/>
              </w:rPr>
              <w:t>vzťahuje sa to na zámery, ciele a kľúčové opatrenia, ktoré sú definované v SEÚDR</w:t>
            </w:r>
          </w:p>
          <w:p w:rsidR="00F4427B" w:rsidRPr="00F4427B" w:rsidRDefault="00F4427B" w:rsidP="00C44002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</w:t>
            </w:r>
            <w:r w:rsidR="008A6769" w:rsidRPr="00F4427B">
              <w:rPr>
                <w:lang w:val="sk-SK"/>
              </w:rPr>
              <w:t xml:space="preserve">: </w:t>
            </w:r>
            <w:r w:rsidRPr="00F4427B">
              <w:rPr>
                <w:lang w:val="sk-SK"/>
              </w:rPr>
              <w:t>Dunajská stratégia používa rovnaké výrazy, preto boli zahrnuté do PS.</w:t>
            </w:r>
          </w:p>
          <w:p w:rsidR="00C44002" w:rsidRPr="00F4427B" w:rsidRDefault="00F4427B" w:rsidP="00F4427B">
            <w:pPr>
              <w:rPr>
                <w:lang w:val="sk-SK"/>
              </w:rPr>
            </w:pPr>
            <w:r w:rsidRPr="00F4427B">
              <w:rPr>
                <w:lang w:val="sk-SK"/>
              </w:rPr>
              <w:t>Hodnotitelia akceptujú vysvetlenie.</w:t>
            </w:r>
          </w:p>
        </w:tc>
      </w:tr>
      <w:tr w:rsidR="008E2F18" w:rsidRPr="00F4427B" w:rsidTr="000F38B6">
        <w:tc>
          <w:tcPr>
            <w:tcW w:w="9180" w:type="dxa"/>
            <w:gridSpan w:val="3"/>
          </w:tcPr>
          <w:p w:rsidR="008E2F18" w:rsidRPr="00F4427B" w:rsidRDefault="00F4427B" w:rsidP="00F4427B">
            <w:pPr>
              <w:rPr>
                <w:lang w:val="sk-SK"/>
              </w:rPr>
            </w:pPr>
            <w:r w:rsidRPr="00F4427B">
              <w:rPr>
                <w:lang w:val="sk-SK"/>
              </w:rPr>
              <w:t>Ukazovatele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Ukazovatele výsledkov konkrétnych programov</w:t>
            </w:r>
          </w:p>
        </w:tc>
        <w:tc>
          <w:tcPr>
            <w:tcW w:w="4678" w:type="dxa"/>
          </w:tcPr>
          <w:p w:rsidR="009C0D38" w:rsidRPr="00F4427B" w:rsidRDefault="008E2F18" w:rsidP="00CF4147">
            <w:pPr>
              <w:rPr>
                <w:lang w:val="sk-SK"/>
              </w:rPr>
            </w:pPr>
            <w:r w:rsidRPr="00F4427B">
              <w:rPr>
                <w:lang w:val="sk-SK"/>
              </w:rPr>
              <w:t>“term</w:t>
            </w:r>
            <w:r w:rsidR="00CF4147">
              <w:rPr>
                <w:lang w:val="sk-SK"/>
              </w:rPr>
              <w:t>íny</w:t>
            </w:r>
            <w:r w:rsidRPr="00F4427B">
              <w:rPr>
                <w:lang w:val="sk-SK"/>
              </w:rPr>
              <w:t>”</w:t>
            </w:r>
          </w:p>
        </w:tc>
        <w:tc>
          <w:tcPr>
            <w:tcW w:w="2976" w:type="dxa"/>
          </w:tcPr>
          <w:p w:rsidR="008E5944" w:rsidRPr="00F4427B" w:rsidRDefault="00DC2FD7" w:rsidP="008A53C4">
            <w:pPr>
              <w:rPr>
                <w:ins w:id="34" w:author="resch" w:date="2014-10-04T15:27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Zostavovatelia už vypracovali Metodiku – hodnotitelia ex-ante to akceptujú.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cieľové skupiny</w:t>
            </w:r>
          </w:p>
        </w:tc>
        <w:tc>
          <w:tcPr>
            <w:tcW w:w="4678" w:type="dxa"/>
          </w:tcPr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Ktoré sú cieľové skupiny</w:t>
            </w:r>
            <w:r w:rsidR="009C0D38" w:rsidRPr="00F4427B">
              <w:rPr>
                <w:lang w:val="sk-SK"/>
              </w:rPr>
              <w:t>?</w:t>
            </w:r>
          </w:p>
        </w:tc>
        <w:tc>
          <w:tcPr>
            <w:tcW w:w="2976" w:type="dxa"/>
          </w:tcPr>
          <w:p w:rsidR="008E5944" w:rsidRPr="00F4427B" w:rsidRDefault="00DC2FD7" w:rsidP="00685DF4">
            <w:pPr>
              <w:rPr>
                <w:ins w:id="35" w:author="resch" w:date="2014-10-04T15:39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CF4147" w:rsidRPr="00CF4147" w:rsidRDefault="00CF4147" w:rsidP="00685DF4">
            <w:pPr>
              <w:rPr>
                <w:color w:val="FF0000"/>
                <w:u w:val="single"/>
                <w:lang w:val="sk-SK"/>
              </w:rPr>
            </w:pPr>
            <w:r w:rsidRPr="00CF4147">
              <w:rPr>
                <w:color w:val="FF0000"/>
                <w:u w:val="single"/>
                <w:lang w:val="sk-SK"/>
              </w:rPr>
              <w:t xml:space="preserve">Inštitúcie vo verejných a súkromných sektoroch, ktoré sú vysoko kompetentné </w:t>
            </w:r>
            <w:r w:rsidRPr="00CF4147">
              <w:rPr>
                <w:color w:val="FF0000"/>
                <w:u w:val="single"/>
                <w:lang w:val="sk-SK"/>
              </w:rPr>
              <w:lastRenderedPageBreak/>
              <w:t>v špecifickej oblasti politiky, a ktoré môžu ovplyvniť vývoj a šírenie politík, ponúknuť špecifické nástroje a služby a môžu prispieť k spoločným usmerneniam, rámcom a stratégiám. Kľúčové inštitúcie by mali mať záujem o vytváranie, uchovávanie a prenos znalostí a schopností v kontexte nadnárodnej spolupráce.</w:t>
            </w:r>
          </w:p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Zostavovatelia už vypracovali metódu definovania cieľových skupín – hodnotitelia ex-ante to akceptujú; mala by však doplnená o definíciu kľúčových aktérov (hlavné aspekty toho, že niekto „je“ hlavným aktérom)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lastRenderedPageBreak/>
              <w:t>načasovanie</w:t>
            </w:r>
          </w:p>
        </w:tc>
        <w:tc>
          <w:tcPr>
            <w:tcW w:w="4678" w:type="dxa"/>
          </w:tcPr>
          <w:p w:rsidR="009C0D38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Meranie sa odporúča v roku 2020</w:t>
            </w:r>
          </w:p>
        </w:tc>
        <w:tc>
          <w:tcPr>
            <w:tcW w:w="2976" w:type="dxa"/>
          </w:tcPr>
          <w:p w:rsidR="008E5944" w:rsidRPr="00F4427B" w:rsidRDefault="00DC2FD7" w:rsidP="0072086D">
            <w:pPr>
              <w:rPr>
                <w:ins w:id="36" w:author="resch" w:date="2014-10-04T15:30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9C0D38" w:rsidRPr="00F4427B" w:rsidRDefault="00CF4147" w:rsidP="0072086D">
            <w:pPr>
              <w:rPr>
                <w:lang w:val="sk-SK"/>
              </w:rPr>
            </w:pPr>
            <w:r>
              <w:rPr>
                <w:lang w:val="sk-SK"/>
              </w:rPr>
              <w:t>Výsledok diskusie s ÚNHP</w:t>
            </w:r>
            <w:r w:rsidR="0085055B" w:rsidRPr="00F4427B">
              <w:rPr>
                <w:lang w:val="sk-SK"/>
              </w:rPr>
              <w:t>:</w:t>
            </w:r>
          </w:p>
          <w:p w:rsidR="0085055B" w:rsidRPr="00F4427B" w:rsidRDefault="00CF4147" w:rsidP="00CF4147">
            <w:pPr>
              <w:rPr>
                <w:lang w:val="sk-SK"/>
              </w:rPr>
            </w:pPr>
            <w:r>
              <w:rPr>
                <w:lang w:val="sk-SK"/>
              </w:rPr>
              <w:t>Pridať ďalší rok na meranie cieľových hodnôt: 2020.</w:t>
            </w:r>
          </w:p>
        </w:tc>
      </w:tr>
      <w:tr w:rsidR="00FD1834" w:rsidRPr="00F4427B" w:rsidTr="000F38B6">
        <w:tc>
          <w:tcPr>
            <w:tcW w:w="1526" w:type="dxa"/>
          </w:tcPr>
          <w:p w:rsidR="009C0D38" w:rsidRPr="00F4427B" w:rsidRDefault="00FD1834" w:rsidP="00FD1834">
            <w:pPr>
              <w:rPr>
                <w:lang w:val="sk-SK"/>
              </w:rPr>
            </w:pPr>
            <w:r>
              <w:rPr>
                <w:lang w:val="sk-SK"/>
              </w:rPr>
              <w:t>Ukazovatele výstupov konkrétnych programov</w:t>
            </w:r>
          </w:p>
        </w:tc>
        <w:tc>
          <w:tcPr>
            <w:tcW w:w="4678" w:type="dxa"/>
          </w:tcPr>
          <w:p w:rsidR="0085055B" w:rsidRPr="00F4427B" w:rsidRDefault="00CF4147" w:rsidP="0085055B">
            <w:pPr>
              <w:rPr>
                <w:lang w:val="sk-SK"/>
              </w:rPr>
            </w:pPr>
            <w:r>
              <w:rPr>
                <w:lang w:val="sk-SK"/>
              </w:rPr>
              <w:t>Ukazovat</w:t>
            </w:r>
            <w:r w:rsidR="00FD1834">
              <w:rPr>
                <w:lang w:val="sk-SK"/>
              </w:rPr>
              <w:t>e</w:t>
            </w:r>
            <w:r>
              <w:rPr>
                <w:lang w:val="sk-SK"/>
              </w:rPr>
              <w:t>le výstupov konkrétnych programov</w:t>
            </w:r>
          </w:p>
          <w:p w:rsidR="009C0D38" w:rsidRPr="00F4427B" w:rsidRDefault="0085055B" w:rsidP="00CF4147">
            <w:pPr>
              <w:rPr>
                <w:lang w:val="sk-SK"/>
              </w:rPr>
            </w:pPr>
            <w:r w:rsidRPr="00F4427B">
              <w:rPr>
                <w:lang w:val="sk-SK"/>
              </w:rPr>
              <w:t>“</w:t>
            </w:r>
            <w:r w:rsidR="00CF4147">
              <w:rPr>
                <w:lang w:val="sk-SK"/>
              </w:rPr>
              <w:t>riešenia</w:t>
            </w:r>
            <w:r w:rsidRPr="00F4427B">
              <w:rPr>
                <w:lang w:val="sk-SK"/>
              </w:rPr>
              <w:t>”? defin</w:t>
            </w:r>
            <w:r w:rsidR="00CF4147">
              <w:rPr>
                <w:lang w:val="sk-SK"/>
              </w:rPr>
              <w:t>ícia</w:t>
            </w:r>
          </w:p>
        </w:tc>
        <w:tc>
          <w:tcPr>
            <w:tcW w:w="2976" w:type="dxa"/>
          </w:tcPr>
          <w:p w:rsidR="006B5FBC" w:rsidRPr="00F4427B" w:rsidRDefault="00DC2FD7" w:rsidP="00685DF4">
            <w:pPr>
              <w:rPr>
                <w:ins w:id="37" w:author="resch" w:date="2014-10-04T15:55:00Z"/>
                <w:lang w:val="sk-SK"/>
              </w:rPr>
            </w:pPr>
            <w:r w:rsidRPr="00F4427B">
              <w:rPr>
                <w:color w:val="FF0000"/>
                <w:u w:val="single"/>
                <w:lang w:val="sk-SK"/>
              </w:rPr>
              <w:t>Plne akceptované</w:t>
            </w:r>
          </w:p>
          <w:p w:rsidR="009C0D38" w:rsidRPr="00F4427B" w:rsidRDefault="00F5266D" w:rsidP="00FD1834">
            <w:pPr>
              <w:rPr>
                <w:lang w:val="sk-SK"/>
              </w:rPr>
            </w:pPr>
            <w:r w:rsidRPr="00F4427B">
              <w:rPr>
                <w:lang w:val="sk-SK"/>
              </w:rPr>
              <w:t>Zostavovatelia súhlasili</w:t>
            </w:r>
            <w:r w:rsidR="00FD1834">
              <w:rPr>
                <w:lang w:val="sk-SK"/>
              </w:rPr>
              <w:t>, že pridajú k tabuľke výkonnostného rámca trochu vysvetlení</w:t>
            </w:r>
          </w:p>
        </w:tc>
      </w:tr>
    </w:tbl>
    <w:p w:rsidR="0072086D" w:rsidRPr="00F4427B" w:rsidRDefault="0072086D" w:rsidP="00284591">
      <w:pPr>
        <w:rPr>
          <w:lang w:val="sk-SK"/>
        </w:rPr>
      </w:pPr>
    </w:p>
    <w:sectPr w:rsidR="0072086D" w:rsidRPr="00F4427B" w:rsidSect="00284591">
      <w:headerReference w:type="default" r:id="rId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443" w:rsidRDefault="004A0443" w:rsidP="00284591">
      <w:pPr>
        <w:spacing w:after="0" w:line="240" w:lineRule="auto"/>
      </w:pPr>
      <w:r>
        <w:separator/>
      </w:r>
    </w:p>
  </w:endnote>
  <w:endnote w:type="continuationSeparator" w:id="1">
    <w:p w:rsidR="004A0443" w:rsidRDefault="004A0443" w:rsidP="0028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443" w:rsidRDefault="004A0443" w:rsidP="00284591">
      <w:pPr>
        <w:spacing w:after="0" w:line="240" w:lineRule="auto"/>
      </w:pPr>
      <w:r>
        <w:separator/>
      </w:r>
    </w:p>
  </w:footnote>
  <w:footnote w:type="continuationSeparator" w:id="1">
    <w:p w:rsidR="004A0443" w:rsidRDefault="004A0443" w:rsidP="0028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47" w:rsidRPr="00B86964" w:rsidRDefault="00CF4147" w:rsidP="00284591">
    <w:pPr>
      <w:pStyle w:val="Zhlav"/>
    </w:pPr>
    <w:r>
      <w:rPr>
        <w:noProof/>
        <w:lang w:val="sk-SK" w:eastAsia="sk-SK"/>
      </w:rPr>
      <w:drawing>
        <wp:inline distT="0" distB="0" distL="0" distR="0">
          <wp:extent cx="790575" cy="533400"/>
          <wp:effectExtent l="19050" t="0" r="9525" b="0"/>
          <wp:docPr id="1" name="Picture 5" descr="EU_fl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_fl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sk-SK" w:eastAsia="sk-SK"/>
      </w:rPr>
      <w:drawing>
        <wp:inline distT="0" distB="0" distL="0" distR="0">
          <wp:extent cx="1381125" cy="647700"/>
          <wp:effectExtent l="19050" t="0" r="9525" b="0"/>
          <wp:docPr id="2" name="Picture 3" descr="SE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E_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sk-SK" w:eastAsia="sk-SK"/>
      </w:rPr>
      <w:drawing>
        <wp:inline distT="0" distB="0" distL="0" distR="0">
          <wp:extent cx="466725" cy="438150"/>
          <wp:effectExtent l="19050" t="0" r="9525" b="0"/>
          <wp:docPr id="3" name="Picture 8" descr="sol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olo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sk-SK" w:eastAsia="sk-SK"/>
      </w:rPr>
      <w:drawing>
        <wp:inline distT="0" distB="0" distL="0" distR="0">
          <wp:extent cx="857250" cy="523875"/>
          <wp:effectExtent l="19050" t="0" r="0" b="0"/>
          <wp:docPr id="8" name="Picture 9" descr="hb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bh_logo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4147" w:rsidRDefault="00CF414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1A1E"/>
    <w:multiLevelType w:val="hybridMultilevel"/>
    <w:tmpl w:val="5720C050"/>
    <w:lvl w:ilvl="0" w:tplc="737CB5D4"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7A055F1C"/>
    <w:multiLevelType w:val="hybridMultilevel"/>
    <w:tmpl w:val="4B487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176"/>
    <w:rsid w:val="000257A5"/>
    <w:rsid w:val="0004012D"/>
    <w:rsid w:val="00056501"/>
    <w:rsid w:val="0006078B"/>
    <w:rsid w:val="00081385"/>
    <w:rsid w:val="000A541C"/>
    <w:rsid w:val="000F38B6"/>
    <w:rsid w:val="000F6F1F"/>
    <w:rsid w:val="00103664"/>
    <w:rsid w:val="00111B9E"/>
    <w:rsid w:val="00117E99"/>
    <w:rsid w:val="00133AE3"/>
    <w:rsid w:val="00134A25"/>
    <w:rsid w:val="001539DC"/>
    <w:rsid w:val="00160E40"/>
    <w:rsid w:val="00182730"/>
    <w:rsid w:val="0019729D"/>
    <w:rsid w:val="001A04B7"/>
    <w:rsid w:val="001C7F72"/>
    <w:rsid w:val="001D1CB9"/>
    <w:rsid w:val="001E3014"/>
    <w:rsid w:val="00206CA9"/>
    <w:rsid w:val="00230101"/>
    <w:rsid w:val="0024475F"/>
    <w:rsid w:val="00284591"/>
    <w:rsid w:val="00284A8F"/>
    <w:rsid w:val="002969D1"/>
    <w:rsid w:val="002C5BAE"/>
    <w:rsid w:val="002C73F9"/>
    <w:rsid w:val="002E4381"/>
    <w:rsid w:val="00316FBD"/>
    <w:rsid w:val="00357B33"/>
    <w:rsid w:val="00373A17"/>
    <w:rsid w:val="003760A5"/>
    <w:rsid w:val="00377F06"/>
    <w:rsid w:val="00393D78"/>
    <w:rsid w:val="003965F6"/>
    <w:rsid w:val="003A1AD7"/>
    <w:rsid w:val="003B0BD2"/>
    <w:rsid w:val="003B253D"/>
    <w:rsid w:val="003B3DB0"/>
    <w:rsid w:val="003B64A0"/>
    <w:rsid w:val="003F02F3"/>
    <w:rsid w:val="00421D18"/>
    <w:rsid w:val="004355DE"/>
    <w:rsid w:val="004378A2"/>
    <w:rsid w:val="00444ECC"/>
    <w:rsid w:val="00453279"/>
    <w:rsid w:val="004666F4"/>
    <w:rsid w:val="004934FD"/>
    <w:rsid w:val="00494EFF"/>
    <w:rsid w:val="0049593A"/>
    <w:rsid w:val="004A0443"/>
    <w:rsid w:val="004E1FA6"/>
    <w:rsid w:val="005234D9"/>
    <w:rsid w:val="00527AFD"/>
    <w:rsid w:val="00532DA4"/>
    <w:rsid w:val="005334DB"/>
    <w:rsid w:val="005511BE"/>
    <w:rsid w:val="005631C3"/>
    <w:rsid w:val="00580CEE"/>
    <w:rsid w:val="00584550"/>
    <w:rsid w:val="00594B6A"/>
    <w:rsid w:val="0059707C"/>
    <w:rsid w:val="005A1684"/>
    <w:rsid w:val="005A3093"/>
    <w:rsid w:val="005A7D7B"/>
    <w:rsid w:val="005E4B2A"/>
    <w:rsid w:val="005F1B1C"/>
    <w:rsid w:val="005F430B"/>
    <w:rsid w:val="005F7E8B"/>
    <w:rsid w:val="00611BE9"/>
    <w:rsid w:val="00620F4B"/>
    <w:rsid w:val="00632720"/>
    <w:rsid w:val="006531DB"/>
    <w:rsid w:val="006658DA"/>
    <w:rsid w:val="006664E2"/>
    <w:rsid w:val="00670AA1"/>
    <w:rsid w:val="006736F0"/>
    <w:rsid w:val="0068050D"/>
    <w:rsid w:val="00685DF4"/>
    <w:rsid w:val="006978F8"/>
    <w:rsid w:val="006B5FBC"/>
    <w:rsid w:val="006C3A9F"/>
    <w:rsid w:val="006C4233"/>
    <w:rsid w:val="006E7AE6"/>
    <w:rsid w:val="006F1AA6"/>
    <w:rsid w:val="0070278E"/>
    <w:rsid w:val="0072086D"/>
    <w:rsid w:val="00721AC0"/>
    <w:rsid w:val="007225BF"/>
    <w:rsid w:val="00775CDF"/>
    <w:rsid w:val="00782142"/>
    <w:rsid w:val="00785B28"/>
    <w:rsid w:val="00793ED8"/>
    <w:rsid w:val="00795828"/>
    <w:rsid w:val="007A4778"/>
    <w:rsid w:val="007A5C5C"/>
    <w:rsid w:val="007B7D3D"/>
    <w:rsid w:val="007C2A6D"/>
    <w:rsid w:val="007D493E"/>
    <w:rsid w:val="00802C06"/>
    <w:rsid w:val="008052C1"/>
    <w:rsid w:val="008072ED"/>
    <w:rsid w:val="008139F1"/>
    <w:rsid w:val="00825607"/>
    <w:rsid w:val="008479F9"/>
    <w:rsid w:val="0085055B"/>
    <w:rsid w:val="00853981"/>
    <w:rsid w:val="008735CE"/>
    <w:rsid w:val="0088173C"/>
    <w:rsid w:val="008961D9"/>
    <w:rsid w:val="008A3522"/>
    <w:rsid w:val="008A53C4"/>
    <w:rsid w:val="008A6769"/>
    <w:rsid w:val="008C7EF2"/>
    <w:rsid w:val="008E2F18"/>
    <w:rsid w:val="008E5944"/>
    <w:rsid w:val="00907A1D"/>
    <w:rsid w:val="00912124"/>
    <w:rsid w:val="00951B7A"/>
    <w:rsid w:val="00963A91"/>
    <w:rsid w:val="0096509C"/>
    <w:rsid w:val="00965AF6"/>
    <w:rsid w:val="00981D66"/>
    <w:rsid w:val="00983238"/>
    <w:rsid w:val="00990EBC"/>
    <w:rsid w:val="009940A8"/>
    <w:rsid w:val="009957B9"/>
    <w:rsid w:val="009B350A"/>
    <w:rsid w:val="009C0D38"/>
    <w:rsid w:val="009C533C"/>
    <w:rsid w:val="009C7004"/>
    <w:rsid w:val="009C7035"/>
    <w:rsid w:val="009D6F87"/>
    <w:rsid w:val="00A018C5"/>
    <w:rsid w:val="00A11F39"/>
    <w:rsid w:val="00A44E70"/>
    <w:rsid w:val="00A46603"/>
    <w:rsid w:val="00A551CB"/>
    <w:rsid w:val="00A649F2"/>
    <w:rsid w:val="00AB2A4B"/>
    <w:rsid w:val="00AB4A4C"/>
    <w:rsid w:val="00AF19CE"/>
    <w:rsid w:val="00B0248E"/>
    <w:rsid w:val="00B1098A"/>
    <w:rsid w:val="00B2437D"/>
    <w:rsid w:val="00B26FA8"/>
    <w:rsid w:val="00B34750"/>
    <w:rsid w:val="00B457F8"/>
    <w:rsid w:val="00B46019"/>
    <w:rsid w:val="00B518FA"/>
    <w:rsid w:val="00B523DD"/>
    <w:rsid w:val="00B66CDB"/>
    <w:rsid w:val="00B67D10"/>
    <w:rsid w:val="00B93BC1"/>
    <w:rsid w:val="00BA29BE"/>
    <w:rsid w:val="00BA7C8E"/>
    <w:rsid w:val="00BB31AB"/>
    <w:rsid w:val="00BC5176"/>
    <w:rsid w:val="00BF44E6"/>
    <w:rsid w:val="00C0063F"/>
    <w:rsid w:val="00C01BE0"/>
    <w:rsid w:val="00C1594C"/>
    <w:rsid w:val="00C24C2F"/>
    <w:rsid w:val="00C2739B"/>
    <w:rsid w:val="00C30905"/>
    <w:rsid w:val="00C324F1"/>
    <w:rsid w:val="00C35121"/>
    <w:rsid w:val="00C403D1"/>
    <w:rsid w:val="00C44002"/>
    <w:rsid w:val="00C459BD"/>
    <w:rsid w:val="00C5744F"/>
    <w:rsid w:val="00C7373C"/>
    <w:rsid w:val="00C74300"/>
    <w:rsid w:val="00C74ED4"/>
    <w:rsid w:val="00C90BB3"/>
    <w:rsid w:val="00C95765"/>
    <w:rsid w:val="00C96E71"/>
    <w:rsid w:val="00CA0A63"/>
    <w:rsid w:val="00CD20F7"/>
    <w:rsid w:val="00CF4147"/>
    <w:rsid w:val="00D222C8"/>
    <w:rsid w:val="00D23361"/>
    <w:rsid w:val="00D316EA"/>
    <w:rsid w:val="00D32C0C"/>
    <w:rsid w:val="00D45058"/>
    <w:rsid w:val="00D5466A"/>
    <w:rsid w:val="00D673EE"/>
    <w:rsid w:val="00DA2841"/>
    <w:rsid w:val="00DB1C00"/>
    <w:rsid w:val="00DB27E2"/>
    <w:rsid w:val="00DB2AE4"/>
    <w:rsid w:val="00DC2FD7"/>
    <w:rsid w:val="00DD2381"/>
    <w:rsid w:val="00E02E18"/>
    <w:rsid w:val="00E411BB"/>
    <w:rsid w:val="00E416ED"/>
    <w:rsid w:val="00E42D65"/>
    <w:rsid w:val="00E4724E"/>
    <w:rsid w:val="00E5225D"/>
    <w:rsid w:val="00E754D1"/>
    <w:rsid w:val="00E850E4"/>
    <w:rsid w:val="00EA2830"/>
    <w:rsid w:val="00EC7ADA"/>
    <w:rsid w:val="00EE39C3"/>
    <w:rsid w:val="00EF5822"/>
    <w:rsid w:val="00F22F7B"/>
    <w:rsid w:val="00F30121"/>
    <w:rsid w:val="00F368C5"/>
    <w:rsid w:val="00F4427B"/>
    <w:rsid w:val="00F5266D"/>
    <w:rsid w:val="00F55019"/>
    <w:rsid w:val="00F62206"/>
    <w:rsid w:val="00F70D2F"/>
    <w:rsid w:val="00F7123C"/>
    <w:rsid w:val="00F772B7"/>
    <w:rsid w:val="00FA28B4"/>
    <w:rsid w:val="00FB50C3"/>
    <w:rsid w:val="00FD1834"/>
    <w:rsid w:val="00FD337A"/>
    <w:rsid w:val="00FF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BC1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5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szveg">
    <w:name w:val="EC_szöveg"/>
    <w:basedOn w:val="Normln"/>
    <w:next w:val="Normln"/>
    <w:link w:val="ECszvegChar"/>
    <w:uiPriority w:val="99"/>
    <w:rsid w:val="00A11F39"/>
    <w:pPr>
      <w:spacing w:after="120"/>
      <w:ind w:firstLine="142"/>
      <w:contextualSpacing/>
      <w:jc w:val="both"/>
    </w:pPr>
    <w:rPr>
      <w:rFonts w:ascii="Calibri" w:eastAsia="Times New Roman" w:hAnsi="Calibri" w:cs="Times New Roman"/>
      <w:color w:val="5B595A"/>
      <w:sz w:val="24"/>
      <w:lang w:val="hu-HU"/>
    </w:rPr>
  </w:style>
  <w:style w:type="character" w:customStyle="1" w:styleId="ECszvegChar">
    <w:name w:val="EC_szöveg Char"/>
    <w:basedOn w:val="Standardnpsmoodstavce"/>
    <w:link w:val="ECszveg"/>
    <w:uiPriority w:val="99"/>
    <w:locked/>
    <w:rsid w:val="00A11F39"/>
    <w:rPr>
      <w:rFonts w:ascii="Calibri" w:eastAsia="Times New Roman" w:hAnsi="Calibri" w:cs="Times New Roman"/>
      <w:color w:val="5B595A"/>
      <w:sz w:val="24"/>
    </w:rPr>
  </w:style>
  <w:style w:type="character" w:customStyle="1" w:styleId="apple-style-span">
    <w:name w:val="apple-style-span"/>
    <w:basedOn w:val="Standardnpsmoodstavce"/>
    <w:rsid w:val="00A11F39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rsid w:val="00A11F3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11F39"/>
    <w:pPr>
      <w:spacing w:line="240" w:lineRule="auto"/>
      <w:ind w:firstLine="142"/>
      <w:jc w:val="both"/>
    </w:pPr>
    <w:rPr>
      <w:rFonts w:ascii="Calibri" w:eastAsia="Calibri" w:hAnsi="Calibri" w:cs="Times New Roman"/>
      <w:color w:val="5B595A"/>
      <w:sz w:val="20"/>
      <w:szCs w:val="20"/>
      <w:lang w:val="hu-HU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1F39"/>
    <w:rPr>
      <w:rFonts w:ascii="Calibri" w:eastAsia="Calibri" w:hAnsi="Calibri" w:cs="Times New Roman"/>
      <w:color w:val="5B595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1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1F39"/>
    <w:rPr>
      <w:rFonts w:ascii="Tahoma" w:hAnsi="Tahoma" w:cs="Tahom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2969D1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16EA"/>
    <w:pPr>
      <w:ind w:firstLine="0"/>
      <w:jc w:val="left"/>
    </w:pPr>
    <w:rPr>
      <w:rFonts w:asciiTheme="minorHAnsi" w:eastAsiaTheme="minorHAnsi" w:hAnsiTheme="minorHAnsi" w:cstheme="minorBidi"/>
      <w:b/>
      <w:bCs/>
      <w:color w:val="auto"/>
      <w:lang w:val="en-GB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16EA"/>
    <w:rPr>
      <w:b/>
      <w:bCs/>
      <w:lang w:val="en-GB"/>
    </w:rPr>
  </w:style>
  <w:style w:type="paragraph" w:styleId="Zhlav">
    <w:name w:val="header"/>
    <w:basedOn w:val="Normln"/>
    <w:link w:val="ZhlavChar"/>
    <w:uiPriority w:val="99"/>
    <w:unhideWhenUsed/>
    <w:rsid w:val="0028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4591"/>
    <w:rPr>
      <w:lang w:val="en-GB"/>
    </w:rPr>
  </w:style>
  <w:style w:type="paragraph" w:styleId="Zpat">
    <w:name w:val="footer"/>
    <w:basedOn w:val="Normln"/>
    <w:link w:val="ZpatChar"/>
    <w:uiPriority w:val="99"/>
    <w:semiHidden/>
    <w:unhideWhenUsed/>
    <w:rsid w:val="0028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8459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2080</Words>
  <Characters>11860</Characters>
  <Application>Microsoft Office Word</Application>
  <DocSecurity>0</DocSecurity>
  <Lines>98</Lines>
  <Paragraphs>27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konok.edit</dc:creator>
  <cp:lastModifiedBy>PC</cp:lastModifiedBy>
  <cp:revision>3</cp:revision>
  <dcterms:created xsi:type="dcterms:W3CDTF">2014-12-08T01:27:00Z</dcterms:created>
  <dcterms:modified xsi:type="dcterms:W3CDTF">2014-12-10T15:02:00Z</dcterms:modified>
</cp:coreProperties>
</file>